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黑体"/>
          <w:b/>
          <w:color w:val="auto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黑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b/>
          <w:color w:val="auto"/>
          <w:kern w:val="0"/>
          <w:sz w:val="44"/>
          <w:szCs w:val="44"/>
        </w:rPr>
        <w:t>《期货公司异构多活交易信息系统建设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黑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b/>
          <w:color w:val="auto"/>
          <w:kern w:val="0"/>
          <w:sz w:val="44"/>
          <w:szCs w:val="44"/>
        </w:rPr>
        <w:t>指南》编制说明</w:t>
      </w:r>
    </w:p>
    <w:p/>
    <w:p>
      <w:pPr>
        <w:spacing w:line="560" w:lineRule="exact"/>
        <w:ind w:firstLine="642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一、背景及意义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随着我国期货市场快速发展，交易品种扩容、国际化进程加速、客户交易需求多元化，期货公司交易系统面临高并发、低延迟、强容灾、自主可控的严峻挑战。传统“主备灾备”架构因技术同构、切换延迟、单点失效等问题，难以满足业务连续性“零中断”的监管要求与客户体验预期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为系统性解决上述痛点，中国期货业协会牵头制定《期货公司异构多活交易信息系统建设指南》，首次在期货行业提出“异构多活”架构的标准化建设路径。该标准突破“同构双活”局限，倡导在不同技术栈、硬件平台、软件架构下构建多个可独立承载全量业务的“活”节点，实现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高可用：多节点并行运行，任意节点故障不影响交易；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强容灾：跨地域、异构部署，抵御软硬件、网络、区域级灾难；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业务连续：盘中实时切换，客户无感知，结算数据强一致；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信创合规：支持国产化替代，满足金融行业安全可控要求；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弹性扩展：支持差异化服务、客户分层管理，赋能业务创新。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该标准的发布，填补了期货行业在异构多活架构标准化建设领域的空白，是落实《证券期货业网络和信息安全管理办法》《信息系统备份能力规范》等监管要求的关键举措，标志着我国期货公司核心交易系统从“被动灾备”迈向“主动高可用”新阶段，为行业数字化转型与高质量发展提供坚实技术底座。</w:t>
      </w:r>
    </w:p>
    <w:p>
      <w:pPr>
        <w:spacing w:line="560" w:lineRule="exact"/>
        <w:ind w:firstLine="642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 xml:space="preserve">二、工作简况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 xml:space="preserve">（一）起草单位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根据2024年团体标准制定计划，协会牵头组织中金所数据有限公司、国泰君安期货有限公司、中泰期货股份有限公司、银河期货有限公司、南华期货股份有限公司、上海期货信息技术公司、大连飞创信息技术公司、上海金仕达软件科技股份有限公司、恒生电子股份有限公司等单位成立标准编制工作组，共同起草本标准。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 xml:space="preserve">（二）主要工作过程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1、2025年1月-3月，开展标准调研和起草工作，确定标准起草思路及内容框架。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2、2025年4月-2026年6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月，完成标准初稿起草工作。 </w:t>
      </w:r>
    </w:p>
    <w:p>
      <w:pPr>
        <w:spacing w:line="560" w:lineRule="exact"/>
        <w:ind w:firstLine="642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 xml:space="preserve">三、编制主要内容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本标准系统构建了从建设目标、组织保障、基础设施、系统要求、方案选型、测试验证、上线部署到运行保障与应急处置的全生命周期管理框架，配套全业务覆盖与核心模块轻量化两类典型案例，为期货公司提供可落地、可评估、可复用的实施路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（一）构建高可用、零中断的业务连续体系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通过异构多活架构实现多个独立运行的交易节点并行服务，消除单点故障风险，确保在硬件、软件、网络或区域性灾难发生时，系统可实现自动/手动切换，保障客户交易“不中断、无感知”。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（二）实现异构技术栈的协同与容灾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要求主备系统采用不同技术架构、硬件平台、操作系统或数据库，避免“同构共因故障”，提升系统抗攻击、抗漏洞、抗供应链风险能力，满足金融信创与自主可控监管要求。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（三）建立全链路数据一致性保障机制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对账户、资金、持仓、密码、权限等核心数据实施实时同步+盘后对账双轨机制，明确区分实时同步（如密码、资金）与非实时同步（如费率、客户信息）数据类型，确保切换前后客户资产与交易状态绝对一致，杜绝数据错乱与资金风险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（四）设计可落地、可验证的建设与运维闭环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从方案选型、系统测试、上线策略、监控体系、应急响应全流程标准化，配套全业务、核心模块两大典型实施案例，提供可复制、可审计、可考核的落地路径。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（五）强化安全合规与组织保障机制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建立独立运维团队，实行物理隔离、权限分离、操作分控；明确决策层、管理层、执行层三级职责；落实补丁管理、安全测试、数据加密、监管报送等合规要求，确保系统建设与运行全程符合《证券期货业网络和信息安全管理办法》等监管规范。</w:t>
      </w:r>
    </w:p>
    <w:p>
      <w:pPr>
        <w:spacing w:line="560" w:lineRule="exact"/>
        <w:ind w:firstLine="642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 xml:space="preserve">四、主要实验（或验证）分析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本标准在编制过程中，严格遵循监管要求，为期货公司按需开展异构多活交易信息系统建设提供参考。 </w:t>
      </w:r>
    </w:p>
    <w:p>
      <w:pPr>
        <w:spacing w:line="560" w:lineRule="exact"/>
        <w:ind w:firstLine="642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 xml:space="preserve">五、重大分歧意见的处理经过和依据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无。</w:t>
      </w:r>
    </w:p>
    <w:p>
      <w:pPr>
        <w:spacing w:line="560" w:lineRule="exact"/>
        <w:ind w:firstLine="642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 xml:space="preserve">六、贯彻标准的要求和建议措施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标准</w:t>
      </w:r>
      <w:r>
        <w:rPr>
          <w:rFonts w:ascii="仿宋" w:hAnsi="仿宋" w:eastAsia="仿宋" w:cs="仿宋"/>
          <w:kern w:val="0"/>
          <w:sz w:val="32"/>
          <w:szCs w:val="32"/>
        </w:rPr>
        <w:t>严格按照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GB/T 1.1-2020《标准化工作准则 第一部分：标准的结构和编写》JR/T 0352.1—2026《证券期货业标准化工作导则 第1部分：标准的名称》</w:t>
      </w:r>
      <w:r>
        <w:rPr>
          <w:rFonts w:ascii="仿宋" w:hAnsi="仿宋" w:eastAsia="仿宋" w:cs="仿宋"/>
          <w:kern w:val="0"/>
          <w:sz w:val="32"/>
          <w:szCs w:val="32"/>
        </w:rPr>
        <w:t>《中国期货业协会团体标准管理办法》规定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组织</w:t>
      </w:r>
      <w:r>
        <w:rPr>
          <w:rFonts w:ascii="仿宋" w:hAnsi="仿宋" w:eastAsia="仿宋" w:cs="仿宋"/>
          <w:kern w:val="0"/>
          <w:sz w:val="32"/>
          <w:szCs w:val="32"/>
        </w:rPr>
        <w:t>制定。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本标准作为推荐性团体标准，期货公司及相关方可参照本标准开展异构多活交易信息系统建设。 </w:t>
      </w:r>
    </w:p>
    <w:p>
      <w:pPr>
        <w:spacing w:line="560" w:lineRule="exact"/>
        <w:ind w:firstLine="642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 xml:space="preserve">七、废止有关现行标准的建议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不涉及废止现行有关标准。</w:t>
      </w:r>
    </w:p>
    <w:p>
      <w:pPr>
        <w:spacing w:line="560" w:lineRule="exact"/>
        <w:ind w:firstLine="642" w:firstLineChars="200"/>
        <w:jc w:val="left"/>
        <w:outlineLvl w:val="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 xml:space="preserve">八、其他说明项 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无。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EC"/>
    <w:rsid w:val="0014189A"/>
    <w:rsid w:val="001D0400"/>
    <w:rsid w:val="00361AA6"/>
    <w:rsid w:val="00561739"/>
    <w:rsid w:val="006C6C7E"/>
    <w:rsid w:val="008A4AEC"/>
    <w:rsid w:val="008D6A4C"/>
    <w:rsid w:val="009A1A60"/>
    <w:rsid w:val="009A732D"/>
    <w:rsid w:val="00B45218"/>
    <w:rsid w:val="00C54CA2"/>
    <w:rsid w:val="00D977B9"/>
    <w:rsid w:val="00DE0080"/>
    <w:rsid w:val="1C683013"/>
    <w:rsid w:val="1C6D08DF"/>
    <w:rsid w:val="58802C92"/>
    <w:rsid w:val="5AAC6857"/>
    <w:rsid w:val="5B46087F"/>
    <w:rsid w:val="77BB8700"/>
    <w:rsid w:val="7937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段"/>
    <w:link w:val="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6">
    <w:name w:val="段 Char"/>
    <w:link w:val="5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1664</Words>
  <Characters>1696</Characters>
  <Lines>12</Lines>
  <Paragraphs>3</Paragraphs>
  <TotalTime>0</TotalTime>
  <ScaleCrop>false</ScaleCrop>
  <LinksUpToDate>false</LinksUpToDate>
  <CharactersWithSpaces>1715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2026-05-06T16:20:00Z</dcterms:created>
  <dc:creator>zhouchao</dc:creator>
  <cp:lastModifiedBy>aiqing</cp:lastModifiedBy>
  <dcterms:modified xsi:type="dcterms:W3CDTF">2026-06-30T12:07:58Z</dcterms:modified>
  <dc:title>《期货公司异构多活交易信息系统建设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eyJoZGlkIjoiMWI3NzJiM2JmNGIxZDZiNjQxMmYxZmFlNzQ1NDMxNjIiLCJ1c2VySWQiOiIxNTY4Mzc5Njg3In0=</vt:lpwstr>
  </property>
  <property fmtid="{D5CDD505-2E9C-101B-9397-08002B2CF9AE}" pid="3" name="KSOProductBuildVer">
    <vt:lpwstr>2052-11.8.2.9980</vt:lpwstr>
  </property>
  <property fmtid="{D5CDD505-2E9C-101B-9397-08002B2CF9AE}" pid="4" name="ICV">
    <vt:lpwstr>8A65505D46D749C78FE5A1158F22B92C_12</vt:lpwstr>
  </property>
</Properties>
</file>