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8371">
      <w:pPr>
        <w:widowControl/>
        <w:spacing w:line="560" w:lineRule="exact"/>
        <w:jc w:val="center"/>
        <w:rPr>
          <w:rFonts w:cs="黑体" w:asciiTheme="minorEastAsia" w:hAnsiTheme="minorEastAsia"/>
          <w:b/>
          <w:color w:val="auto"/>
          <w:kern w:val="0"/>
          <w:sz w:val="36"/>
          <w:szCs w:val="36"/>
        </w:rPr>
      </w:pPr>
    </w:p>
    <w:p w14:paraId="77C39024"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  <w:t>《期货</w:t>
      </w: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  <w:lang w:val="en-US" w:eastAsia="zh-CN"/>
        </w:rPr>
        <w:t>程序化交易系统功能测试</w:t>
      </w: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  <w:t>指引》</w:t>
      </w:r>
    </w:p>
    <w:p w14:paraId="69460213"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  <w:lang w:val="en-US" w:eastAsia="zh-CN"/>
        </w:rPr>
        <w:t>编制</w:t>
      </w: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  <w:t>说明</w:t>
      </w:r>
    </w:p>
    <w:p w14:paraId="6B22A9FE"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</w:pPr>
    </w:p>
    <w:p w14:paraId="30C76C29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一、背景及意义</w:t>
      </w:r>
    </w:p>
    <w:p w14:paraId="6F2E2E53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kern w:val="0"/>
          <w:sz w:val="32"/>
          <w:szCs w:val="32"/>
        </w:rPr>
        <w:t>《中华人民共和国期货和衍生品法》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《关于加强监管防范风险促进期货市场高质量发展的意见》（国办发〔2024〕47 号）要求，加强程序化交易监管，规范程序化交易发展，维护期货交易秩序和市场公平，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kern w:val="0"/>
          <w:sz w:val="32"/>
          <w:szCs w:val="32"/>
        </w:rPr>
        <w:t>证监会全面总结期货市场程序化交易监管实践经验，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起草</w:t>
      </w:r>
      <w:r>
        <w:rPr>
          <w:rFonts w:hint="eastAsia" w:ascii="仿宋" w:hAnsi="仿宋" w:eastAsia="仿宋" w:cs="仿宋"/>
          <w:kern w:val="0"/>
          <w:sz w:val="32"/>
          <w:szCs w:val="32"/>
        </w:rPr>
        <w:t>了《期货市场程序化交易管理规定（试行）》（以下简称《管理规定》）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《管理规定》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要求交易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者用于</w:t>
      </w:r>
      <w:r>
        <w:rPr>
          <w:rFonts w:hint="eastAsia" w:ascii="仿宋" w:hAnsi="仿宋" w:eastAsia="仿宋" w:cs="仿宋"/>
          <w:kern w:val="0"/>
          <w:sz w:val="32"/>
          <w:szCs w:val="32"/>
        </w:rPr>
        <w:t>期货程序化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交易的技术系统，应当符合期货交易所规定，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具备异常监测、阈值管理、错误防范、应急处置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功能，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并由期货公司在接入前，对其进行测试。</w:t>
      </w:r>
    </w:p>
    <w:p w14:paraId="2DA9E737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随着期货市场发展，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期货程序化交易系统功能差异显著，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为指导期货公司规范开展程序化交易系统测试工作，防范</w:t>
      </w:r>
      <w:r>
        <w:rPr>
          <w:rFonts w:hint="eastAsia" w:ascii="仿宋" w:hAnsi="仿宋" w:eastAsia="仿宋" w:cs="仿宋"/>
          <w:kern w:val="0"/>
          <w:sz w:val="32"/>
          <w:szCs w:val="32"/>
        </w:rPr>
        <w:t>程序化交易系统风险，保护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kern w:val="0"/>
          <w:sz w:val="32"/>
          <w:szCs w:val="32"/>
        </w:rPr>
        <w:t>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合法权益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，中国期货业协会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以下简称“协会”）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组织相关单位开展了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研制工作。</w:t>
      </w:r>
    </w:p>
    <w:p w14:paraId="125208D8">
      <w:pPr>
        <w:spacing w:line="560" w:lineRule="exact"/>
        <w:ind w:firstLine="640" w:firstLineChars="200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本文件针对期货程序化交易系统，从接口适应性、异常监测、阈值管理、错误防范、应急处置及日志记录六个方面，制定具体的测试要求与通过标准，旨在提升期货程序化交易系统测试有效性，保障期货程序化交易系统安全性与稳定性，维护市场正常交易秩序。</w:t>
      </w:r>
    </w:p>
    <w:p w14:paraId="223AFF36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工作简况</w:t>
      </w:r>
    </w:p>
    <w:p w14:paraId="2FFE45A9">
      <w:pPr>
        <w:spacing w:line="560" w:lineRule="exact"/>
        <w:ind w:firstLine="643" w:firstLineChars="200"/>
        <w:jc w:val="left"/>
        <w:outlineLvl w:val="1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（一）起草单位</w:t>
      </w:r>
    </w:p>
    <w:p w14:paraId="5333E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协会2025年团体标准制定计划，由协会牵头，组织大商所飞泰测试技术有限公司联合国泰君安期货有限公司、中粮期货有限公司、银河期货有限公司、上海东证期货有限公司、中信期货有限公司、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东航期货有限责任公司、华西期货有限责任公司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、华泰期货有限公司、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instrText xml:space="preserve"> HYPERLINK "https://www.wenhua.com.cn/" \t "https://www.so.com/_blank"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上海文华财经资讯股份有限公司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instrText xml:space="preserve"> HYPERLINK "https://www.so.com/link?m=wCA+P44LvyBOgm6g8VGGlAEJ7Ct23FqMF5rzJewhDBA69jxX3D1boa2Ko1zeL9Suwnk5tNLY9ZSH+T3q2vwZEw7SBgsJ1HKnYKaaiNbIkTlaRVA0YeIO+Oymvce1pvOC1WaEvy4pmBDt64TmIH1p1bx+BglcQvfflrHSKX0t+qOjBUiGZ8eAuhe72DRG523Bo0FeN5YRtjt4WTZUNZTLiY6jYC0w97dHgV0zZBwDs6khL6jne" \t "https://www.so.com/_blank"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上海澎博财经资讯有限公司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单位成立标准编制工作组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，共同起草了《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期货程序化交易系统功能测试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指引》。</w:t>
      </w:r>
    </w:p>
    <w:p w14:paraId="3D73CD05">
      <w:pPr>
        <w:spacing w:line="560" w:lineRule="exact"/>
        <w:ind w:firstLine="643" w:firstLineChars="200"/>
        <w:jc w:val="left"/>
        <w:outlineLvl w:val="1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（二）主要工作过程</w:t>
      </w:r>
    </w:p>
    <w:p w14:paraId="2D53B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1.2025年2月，协会组织召开期货程序化交易系统起草工作会议，从有关规定、业务规则方面分析整理，确定标准建设思路。</w:t>
      </w:r>
    </w:p>
    <w:p w14:paraId="5DE87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2.2025年4月，通过标准立项，并初步完成标准内容编写，收集评审意见并完成意见处理，合稿校验确定初稿内容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657A7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3.2025年5月，经协会2025年第13期会长办公会审议通过，标准形成征求意见稿。</w:t>
      </w:r>
    </w:p>
    <w:p w14:paraId="79F60FB7">
      <w:pPr>
        <w:numPr>
          <w:ilvl w:val="0"/>
          <w:numId w:val="1"/>
        </w:numPr>
        <w:spacing w:line="560" w:lineRule="exact"/>
        <w:ind w:firstLine="643" w:firstLineChars="200"/>
        <w:jc w:val="left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主要内容</w:t>
      </w:r>
    </w:p>
    <w:p w14:paraId="529DC00C">
      <w:pPr>
        <w:numPr>
          <w:ilvl w:val="-1"/>
          <w:numId w:val="0"/>
        </w:numPr>
        <w:spacing w:line="560" w:lineRule="exact"/>
        <w:ind w:firstLine="640" w:firstLineChars="200"/>
        <w:jc w:val="left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针对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期货程序化交易系统提出了系统功能测试安排建议，以及相关测试指标。根据《管理规定》以及系统接入测试目标，本标准分别从接口适应性、异常监测、阈值管理、错误防范、应急处置及日志记录六个方面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明确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指标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、测试方法和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通过标准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具体功能测试指标如下：</w:t>
      </w:r>
    </w:p>
    <w:p w14:paraId="095E1615">
      <w:pPr>
        <w:spacing w:line="560" w:lineRule="exact"/>
        <w:ind w:firstLine="643" w:firstLineChars="200"/>
        <w:jc w:val="left"/>
        <w:outlineLvl w:val="1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接口适应性</w:t>
      </w:r>
    </w:p>
    <w:p w14:paraId="6B327A52">
      <w:pPr>
        <w:numPr>
          <w:ilvl w:val="-1"/>
          <w:numId w:val="0"/>
        </w:numPr>
        <w:spacing w:line="560" w:lineRule="exact"/>
        <w:ind w:firstLine="640" w:firstLineChars="200"/>
        <w:jc w:val="both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测试期货程序化交易系统是否能够与交易信息系统正常连通，以及是否具备基础交易功能。</w:t>
      </w:r>
    </w:p>
    <w:p w14:paraId="1CD7D631">
      <w:pPr>
        <w:numPr>
          <w:ilvl w:val="-1"/>
          <w:numId w:val="0"/>
        </w:numPr>
        <w:spacing w:line="560" w:lineRule="exact"/>
        <w:ind w:left="0" w:firstLine="643" w:firstLineChars="200"/>
        <w:jc w:val="left"/>
        <w:outlineLvl w:val="1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（二）异常监测</w:t>
      </w:r>
    </w:p>
    <w:p w14:paraId="7FB84CD6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测试期货程序化交易系统是否具备系统连接状态监测功能，是否具备重复下达的交易指令监测功能，以及是否具备报单笔数、撤单笔数、成交笔数监测功能。</w:t>
      </w:r>
    </w:p>
    <w:bookmarkEnd w:id="0"/>
    <w:p w14:paraId="6F0B872B">
      <w:pPr>
        <w:spacing w:line="560" w:lineRule="exact"/>
        <w:ind w:firstLine="643" w:firstLineChars="200"/>
        <w:jc w:val="left"/>
        <w:outlineLvl w:val="1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阈值管理</w:t>
      </w:r>
    </w:p>
    <w:p w14:paraId="5C81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测试期货程序化交易系统是否能够根据风险控制需要设置指标阈值，并在达到或超过设置阈值后是否能够进行预警。</w:t>
      </w:r>
    </w:p>
    <w:p w14:paraId="003FA833">
      <w:pPr>
        <w:spacing w:line="560" w:lineRule="exact"/>
        <w:ind w:firstLine="643" w:firstLineChars="200"/>
        <w:jc w:val="left"/>
        <w:outlineLvl w:val="1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错误防范</w:t>
      </w:r>
    </w:p>
    <w:p w14:paraId="08C47335">
      <w:pPr>
        <w:spacing w:line="560" w:lineRule="exact"/>
        <w:ind w:firstLine="640" w:firstLineChars="200"/>
        <w:jc w:val="left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测试期货程序化交易系统是否具备交易指令检测功能，防范下达错误交易指令，以及是否具备接收交易所、交易信息系统返回的错误提示功能。</w:t>
      </w:r>
    </w:p>
    <w:p w14:paraId="725F0C71">
      <w:pPr>
        <w:spacing w:line="560" w:lineRule="exact"/>
        <w:ind w:firstLine="643" w:firstLineChars="200"/>
        <w:jc w:val="left"/>
        <w:outlineLvl w:val="1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应急处置</w:t>
      </w:r>
    </w:p>
    <w:p w14:paraId="520E05B0">
      <w:pPr>
        <w:spacing w:line="560" w:lineRule="exact"/>
        <w:ind w:firstLine="640" w:firstLineChars="200"/>
        <w:jc w:val="left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测试期货程序化交易系统是否能够暂停下达交易指令，以及是否具备批量撤单功能。</w:t>
      </w:r>
    </w:p>
    <w:p w14:paraId="50251E02">
      <w:pPr>
        <w:numPr>
          <w:ilvl w:val="0"/>
          <w:numId w:val="2"/>
        </w:numPr>
        <w:spacing w:line="560" w:lineRule="exact"/>
        <w:ind w:firstLine="643" w:firstLineChars="200"/>
        <w:jc w:val="left"/>
        <w:outlineLvl w:val="1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日志记录</w:t>
      </w:r>
    </w:p>
    <w:p w14:paraId="20808816">
      <w:pPr>
        <w:spacing w:line="560" w:lineRule="exact"/>
        <w:ind w:firstLine="640" w:firstLineChars="200"/>
        <w:jc w:val="left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测试期货程序化交易系统是否具备日志记录功能，以及记录的日志是否满足回溯需要。</w:t>
      </w:r>
    </w:p>
    <w:p w14:paraId="2E1A44B0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四、主要实验（或验证）分析</w:t>
      </w:r>
    </w:p>
    <w:p w14:paraId="046ED6B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在撰写过程中，严格遵循监管要求，紧扣行业发展实践，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为期货程序化交易系统测试工作测试安排、测试指标、通过标准等方面提供参考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 w14:paraId="6F5CBE31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五、与有关的现行法律、法规和国家标准的关系</w:t>
      </w:r>
    </w:p>
    <w:p w14:paraId="1BEA4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标准为推荐性团体标准，符合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《期货公司监督管理办法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期货市场程序化交易管理规定（试行）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147D555C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六、与行业数据模型的关系</w:t>
      </w:r>
    </w:p>
    <w:p w14:paraId="519BCFA4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暂不涉及与行业数据模型的关系。</w:t>
      </w:r>
    </w:p>
    <w:p w14:paraId="4B2F5D43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、重大分歧意见的处理经过和依据</w:t>
      </w:r>
    </w:p>
    <w:p w14:paraId="7BE4C94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无。</w:t>
      </w:r>
    </w:p>
    <w:p w14:paraId="5CE0DB22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、贯彻标准的要求和建议措施</w:t>
      </w:r>
    </w:p>
    <w:p w14:paraId="6FDA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本标准作为推荐性团体标准，对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期货程序化交易系统测试起到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指导作用，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助力期货经营机构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加强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程序化交易系统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险管理，降低系统性风险发生的可能性，提升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合规性、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稳定性，保护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交易者合法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权益，维护市场秩序的公正与稳定，为期货市场的健康发展保驾护航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 w14:paraId="011FB156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国家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" w:eastAsia="zh-CN"/>
        </w:rPr>
        <w:t>/行业标准属性的建议</w:t>
      </w:r>
    </w:p>
    <w:p w14:paraId="144E975B"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" w:eastAsia="zh-CN"/>
        </w:rPr>
        <w:t>鉴于本标准的内容未涉及强制性标准或强制性条文的内容及要求，如有必要可上升作为推荐性行业标准。</w:t>
      </w:r>
    </w:p>
    <w:p w14:paraId="64B71E0C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十、废止有关现行标准的建议</w:t>
      </w:r>
    </w:p>
    <w:p w14:paraId="7452A168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无</w:t>
      </w:r>
    </w:p>
    <w:p w14:paraId="0F1E5400">
      <w:pPr>
        <w:spacing w:line="560" w:lineRule="exact"/>
        <w:ind w:firstLine="641" w:firstLineChars="200"/>
        <w:jc w:val="left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其他说明项</w:t>
      </w:r>
    </w:p>
    <w:p w14:paraId="113101C9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15B9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FF5D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FF5D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5178F"/>
    <w:multiLevelType w:val="singleLevel"/>
    <w:tmpl w:val="1985178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8A7856"/>
    <w:multiLevelType w:val="singleLevel"/>
    <w:tmpl w:val="208A78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MTU1ODY2MTFhZTgzNTg4NDk1NDNmMmU4NzQ5Y2IifQ=="/>
  </w:docVars>
  <w:rsids>
    <w:rsidRoot w:val="00E7368E"/>
    <w:rsid w:val="00067321"/>
    <w:rsid w:val="00097FDB"/>
    <w:rsid w:val="000F5335"/>
    <w:rsid w:val="00173023"/>
    <w:rsid w:val="00207C11"/>
    <w:rsid w:val="0033499C"/>
    <w:rsid w:val="003D2363"/>
    <w:rsid w:val="0050463B"/>
    <w:rsid w:val="00510D22"/>
    <w:rsid w:val="005322BF"/>
    <w:rsid w:val="00614265"/>
    <w:rsid w:val="00731C9C"/>
    <w:rsid w:val="007F51B2"/>
    <w:rsid w:val="00942A69"/>
    <w:rsid w:val="00A14DA1"/>
    <w:rsid w:val="00A7254E"/>
    <w:rsid w:val="00AC6580"/>
    <w:rsid w:val="00AD27D6"/>
    <w:rsid w:val="00C53061"/>
    <w:rsid w:val="00C656C3"/>
    <w:rsid w:val="00CC1C68"/>
    <w:rsid w:val="00E7368E"/>
    <w:rsid w:val="00F20254"/>
    <w:rsid w:val="00F54DA2"/>
    <w:rsid w:val="0196438F"/>
    <w:rsid w:val="024C0ED1"/>
    <w:rsid w:val="025C49EE"/>
    <w:rsid w:val="03170B29"/>
    <w:rsid w:val="035B3145"/>
    <w:rsid w:val="05907B52"/>
    <w:rsid w:val="06A356DC"/>
    <w:rsid w:val="06DD2476"/>
    <w:rsid w:val="06E15ECD"/>
    <w:rsid w:val="070E5C5E"/>
    <w:rsid w:val="09512BB2"/>
    <w:rsid w:val="0A6C0A7F"/>
    <w:rsid w:val="0A8A76FA"/>
    <w:rsid w:val="0ABB3229"/>
    <w:rsid w:val="0B712BA1"/>
    <w:rsid w:val="0C4D2E0B"/>
    <w:rsid w:val="0E3B4C14"/>
    <w:rsid w:val="0E550512"/>
    <w:rsid w:val="0F015D2A"/>
    <w:rsid w:val="0FFD3B96"/>
    <w:rsid w:val="112A6783"/>
    <w:rsid w:val="123F4AA7"/>
    <w:rsid w:val="13CE33F5"/>
    <w:rsid w:val="13E67EB4"/>
    <w:rsid w:val="152452B8"/>
    <w:rsid w:val="154410F5"/>
    <w:rsid w:val="16DB6E00"/>
    <w:rsid w:val="171648EA"/>
    <w:rsid w:val="189B2D66"/>
    <w:rsid w:val="199FF780"/>
    <w:rsid w:val="1AE74234"/>
    <w:rsid w:val="1D2D6D46"/>
    <w:rsid w:val="1D363C07"/>
    <w:rsid w:val="1DBA49EB"/>
    <w:rsid w:val="1F473203"/>
    <w:rsid w:val="202E6578"/>
    <w:rsid w:val="21D656B1"/>
    <w:rsid w:val="22372A90"/>
    <w:rsid w:val="233143C9"/>
    <w:rsid w:val="24D804BA"/>
    <w:rsid w:val="251470D6"/>
    <w:rsid w:val="256A5B0B"/>
    <w:rsid w:val="257562FB"/>
    <w:rsid w:val="2672485E"/>
    <w:rsid w:val="27433481"/>
    <w:rsid w:val="2757018C"/>
    <w:rsid w:val="279006B5"/>
    <w:rsid w:val="28496CA7"/>
    <w:rsid w:val="287D16EB"/>
    <w:rsid w:val="28C323FD"/>
    <w:rsid w:val="2C660589"/>
    <w:rsid w:val="2C8E68FD"/>
    <w:rsid w:val="2C983D35"/>
    <w:rsid w:val="2D036C68"/>
    <w:rsid w:val="2E1F40E6"/>
    <w:rsid w:val="2E444588"/>
    <w:rsid w:val="2E4C1048"/>
    <w:rsid w:val="2EB92CE0"/>
    <w:rsid w:val="2FB65B5B"/>
    <w:rsid w:val="2FE57DC8"/>
    <w:rsid w:val="30C57D07"/>
    <w:rsid w:val="31084D43"/>
    <w:rsid w:val="31E90C83"/>
    <w:rsid w:val="33361EFF"/>
    <w:rsid w:val="335036C0"/>
    <w:rsid w:val="34856DB9"/>
    <w:rsid w:val="35F91AF5"/>
    <w:rsid w:val="364C43E1"/>
    <w:rsid w:val="384F7A22"/>
    <w:rsid w:val="3A1212C4"/>
    <w:rsid w:val="3ACDAFD0"/>
    <w:rsid w:val="3AD05BF3"/>
    <w:rsid w:val="3AEC0481"/>
    <w:rsid w:val="3AFD31D5"/>
    <w:rsid w:val="3BAA8AD7"/>
    <w:rsid w:val="3C55484D"/>
    <w:rsid w:val="3C9259AD"/>
    <w:rsid w:val="3CDC42B3"/>
    <w:rsid w:val="3D1B090E"/>
    <w:rsid w:val="3E056A15"/>
    <w:rsid w:val="3E204A0F"/>
    <w:rsid w:val="3EAED841"/>
    <w:rsid w:val="3F91211F"/>
    <w:rsid w:val="3F97CD4A"/>
    <w:rsid w:val="3FC72A94"/>
    <w:rsid w:val="3FDA19C3"/>
    <w:rsid w:val="3FDEEFCE"/>
    <w:rsid w:val="3FFFF0A7"/>
    <w:rsid w:val="401C193E"/>
    <w:rsid w:val="42DC1410"/>
    <w:rsid w:val="46C330ED"/>
    <w:rsid w:val="472E377A"/>
    <w:rsid w:val="48384D06"/>
    <w:rsid w:val="498E69BD"/>
    <w:rsid w:val="49B233A3"/>
    <w:rsid w:val="4B446F88"/>
    <w:rsid w:val="4B484DF9"/>
    <w:rsid w:val="4B602553"/>
    <w:rsid w:val="4CD124FE"/>
    <w:rsid w:val="4D8B5AD7"/>
    <w:rsid w:val="4F1B430E"/>
    <w:rsid w:val="4FD9B52F"/>
    <w:rsid w:val="50437966"/>
    <w:rsid w:val="50612E8B"/>
    <w:rsid w:val="508A04F2"/>
    <w:rsid w:val="50A30C0D"/>
    <w:rsid w:val="528D6F3B"/>
    <w:rsid w:val="53C71634"/>
    <w:rsid w:val="5524487E"/>
    <w:rsid w:val="56D26326"/>
    <w:rsid w:val="574E1156"/>
    <w:rsid w:val="584C0FF4"/>
    <w:rsid w:val="5BFFC6E4"/>
    <w:rsid w:val="5C3C6121"/>
    <w:rsid w:val="611E0E03"/>
    <w:rsid w:val="62307EA6"/>
    <w:rsid w:val="63C76CAC"/>
    <w:rsid w:val="65827169"/>
    <w:rsid w:val="670F129C"/>
    <w:rsid w:val="679102A4"/>
    <w:rsid w:val="68034332"/>
    <w:rsid w:val="694F5BCB"/>
    <w:rsid w:val="69C64243"/>
    <w:rsid w:val="6A3C4858"/>
    <w:rsid w:val="6BFF7C65"/>
    <w:rsid w:val="6C1E20F8"/>
    <w:rsid w:val="6D7230E1"/>
    <w:rsid w:val="6DFF208A"/>
    <w:rsid w:val="6E031F32"/>
    <w:rsid w:val="6E372D86"/>
    <w:rsid w:val="6E5B717D"/>
    <w:rsid w:val="6EB42355"/>
    <w:rsid w:val="6F9C1581"/>
    <w:rsid w:val="6FDD4FDD"/>
    <w:rsid w:val="6FFE2DDE"/>
    <w:rsid w:val="70F01D72"/>
    <w:rsid w:val="73FA702A"/>
    <w:rsid w:val="742F612B"/>
    <w:rsid w:val="74597C2E"/>
    <w:rsid w:val="74EE4181"/>
    <w:rsid w:val="75CD076D"/>
    <w:rsid w:val="75FF40C8"/>
    <w:rsid w:val="768D1E8B"/>
    <w:rsid w:val="76FA2752"/>
    <w:rsid w:val="77A660A7"/>
    <w:rsid w:val="78093865"/>
    <w:rsid w:val="784E1307"/>
    <w:rsid w:val="79060ED8"/>
    <w:rsid w:val="7CB52155"/>
    <w:rsid w:val="7D5752A5"/>
    <w:rsid w:val="7E7DEA58"/>
    <w:rsid w:val="7EF7CA4C"/>
    <w:rsid w:val="7F772C8F"/>
    <w:rsid w:val="7FAD3FBD"/>
    <w:rsid w:val="7FC7D83B"/>
    <w:rsid w:val="7FDCF9ED"/>
    <w:rsid w:val="93FE5B4D"/>
    <w:rsid w:val="ADFFD799"/>
    <w:rsid w:val="B8FB12B7"/>
    <w:rsid w:val="C5C76632"/>
    <w:rsid w:val="EFEEC983"/>
    <w:rsid w:val="F8FD298D"/>
    <w:rsid w:val="FABF4BB4"/>
    <w:rsid w:val="FBEF05C3"/>
    <w:rsid w:val="FBEFF600"/>
    <w:rsid w:val="FBF771B9"/>
    <w:rsid w:val="FDFFC9A7"/>
    <w:rsid w:val="FFC7D676"/>
    <w:rsid w:val="FFFB8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p15"/>
    <w:basedOn w:val="1"/>
    <w:qFormat/>
    <w:uiPriority w:val="0"/>
    <w:pPr>
      <w:widowControl/>
      <w:ind w:firstLine="420"/>
    </w:pPr>
    <w:rPr>
      <w:rFonts w:ascii="等线" w:hAnsi="等线" w:eastAsia="等线" w:cs="宋体"/>
      <w:kern w:val="0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rFonts w:ascii="等线" w:hAnsi="等线" w:eastAsia="等线" w:cs="宋体"/>
      <w:kern w:val="0"/>
      <w:szCs w:val="21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2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1684</Words>
  <Characters>1697</Characters>
  <Lines>56</Lines>
  <Paragraphs>23</Paragraphs>
  <TotalTime>2</TotalTime>
  <ScaleCrop>false</ScaleCrop>
  <LinksUpToDate>false</LinksUpToDate>
  <CharactersWithSpaces>1698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2024-01-26T13:18:00Z</dcterms:created>
  <dc:creator>mawenting</dc:creator>
  <cp:lastModifiedBy>艾青</cp:lastModifiedBy>
  <cp:lastPrinted>2024-03-04T02:16:00Z</cp:lastPrinted>
  <dcterms:modified xsi:type="dcterms:W3CDTF">2025-06-27T14:22:15Z</dcterms:modified>
  <dc:title>《期货公司数字化能力成熟度指引（草案）》编制说明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BE092DDF18669E87A94FBF663504A76F_42</vt:lpwstr>
  </property>
  <property fmtid="{D5CDD505-2E9C-101B-9397-08002B2CF9AE}" pid="4" name="KSOTemplateDocerSaveRecord">
    <vt:lpwstr>eyJoZGlkIjoiZGExN2ZiNGQ5ZDY5Y2NlNDAxMTk1YjAwZGZiNDdmMTUiLCJ1c2VySWQiOiIzMTM4MTczODgifQ==</vt:lpwstr>
  </property>
</Properties>
</file>