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default"/>
          <w:lang w:bidi="ar"/>
        </w:rPr>
      </w:pPr>
      <w:r>
        <w:rPr>
          <w:lang w:bidi="ar"/>
        </w:rPr>
        <w:t>中期协联合研究计划（第十七期）</w:t>
      </w:r>
    </w:p>
    <w:p>
      <w:pPr>
        <w:pStyle w:val="7"/>
        <w:rPr>
          <w:rFonts w:hint="default"/>
          <w:lang w:bidi="ar"/>
        </w:rPr>
      </w:pPr>
      <w:r>
        <w:rPr>
          <w:lang w:bidi="ar"/>
        </w:rPr>
        <w:t>选题</w:t>
      </w:r>
    </w:p>
    <w:p>
      <w:pPr>
        <w:pStyle w:val="9"/>
        <w:ind w:firstLine="640"/>
        <w:rPr>
          <w:rFonts w:hint="default"/>
        </w:rPr>
      </w:pPr>
    </w:p>
    <w:p>
      <w:pPr>
        <w:pStyle w:val="9"/>
        <w:ind w:firstLine="640"/>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请课题申报单位在以下九大选题范围内开</w:t>
      </w:r>
      <w:bookmarkStart w:id="0" w:name="_GoBack"/>
      <w:bookmarkEnd w:id="0"/>
      <w:r>
        <w:rPr>
          <w:rFonts w:hint="eastAsia" w:ascii="仿宋" w:hAnsi="仿宋" w:eastAsia="仿宋" w:cs="仿宋"/>
          <w:color w:val="000000"/>
          <w:kern w:val="0"/>
          <w:sz w:val="32"/>
          <w:szCs w:val="32"/>
          <w:lang w:val="en-US" w:eastAsia="zh-CN" w:bidi="ar"/>
        </w:rPr>
        <w:t>展研究，本期联合研究计划不接受超出选题范围的课题申报。</w:t>
      </w:r>
    </w:p>
    <w:p>
      <w:pPr>
        <w:pStyle w:val="9"/>
        <w:ind w:firstLine="640"/>
        <w:rPr>
          <w:rStyle w:val="15"/>
          <w:rFonts w:hint="default" w:cs="黑体"/>
          <w:lang w:bidi="ar"/>
        </w:rPr>
      </w:pPr>
      <w:r>
        <w:rPr>
          <w:lang w:bidi="ar"/>
        </w:rPr>
        <w:t>选题一：商品指数类期货上市必要性及发展模式研究</w:t>
      </w:r>
    </w:p>
    <w:p>
      <w:pPr>
        <w:pStyle w:val="8"/>
        <w:rPr>
          <w:rStyle w:val="15"/>
          <w:rFonts w:hint="default" w:ascii="仿宋" w:hAnsi="仿宋" w:eastAsia="仿宋" w:cs="仿宋"/>
          <w:sz w:val="32"/>
          <w:szCs w:val="32"/>
          <w:lang w:bidi="ar"/>
        </w:rPr>
      </w:pPr>
      <w:r>
        <w:rPr>
          <w:lang w:bidi="ar"/>
        </w:rPr>
        <w:t>商品指数类期货作为创新性品种工具，对于服务企业套期保值和大类资产配置均具有重要意义。</w:t>
      </w:r>
      <w:r>
        <w:t>本选题</w:t>
      </w:r>
      <w:r>
        <w:rPr>
          <w:lang w:bidi="ar"/>
        </w:rPr>
        <w:t>建议结合国内外商品指数类期货发展现状及企业应用实践案例，分析上市商品指数类期货品种的现实需求，论证上市可行性，提出具体应用场景和风险应对措施，并对指数编制单位监管提出相应建议，旨在为商品指数类期货品种的推出做好前瞻性探索。</w:t>
      </w:r>
    </w:p>
    <w:p>
      <w:pPr>
        <w:pStyle w:val="9"/>
        <w:ind w:firstLine="640"/>
        <w:rPr>
          <w:rFonts w:hint="default"/>
          <w:lang w:bidi="ar"/>
        </w:rPr>
      </w:pPr>
      <w:r>
        <w:rPr>
          <w:lang w:bidi="ar"/>
        </w:rPr>
        <w:t>选题二：期货公司服务产业客户业务模式研究</w:t>
      </w:r>
    </w:p>
    <w:p>
      <w:pPr>
        <w:pStyle w:val="8"/>
        <w:rPr>
          <w:rFonts w:hint="default"/>
        </w:rPr>
      </w:pPr>
      <w:r>
        <w:t>期货公司作为连接期货市场与客户的桥梁，其开发和服务产业客户的能力直接影响到期货市场服务实体经济的广度和深度。本选题研究内容建议包括期货公司开发和服务产业客户路径总结、重点难点分析、场内外各类业务服务产业客户成效、与服务投机客户相比的成本分析、未来政策支持需求等，旨在通过研究为期货公司服务产业客户提供指导建议，提升产业客户参与度和期货公司服务质效。</w:t>
      </w:r>
      <w:r>
        <w:rPr>
          <w:rFonts w:hint="default"/>
        </w:rPr>
        <w:t xml:space="preserve"> </w:t>
      </w:r>
    </w:p>
    <w:p>
      <w:pPr>
        <w:widowControl/>
        <w:ind w:firstLine="640" w:firstLineChars="200"/>
        <w:textAlignment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选题三：“保险+期货”实践模式总结及创新方向探索研究</w:t>
      </w:r>
    </w:p>
    <w:p>
      <w:pPr>
        <w:pStyle w:val="8"/>
        <w:rPr>
          <w:rFonts w:hint="default"/>
        </w:rPr>
      </w:pPr>
      <w:r>
        <w:t>“保险+期货”自2015年试点以来，在服务实体经济特别是助力农业现代化方面发挥了积极作用。如何优化业务模式、降低交易成本、扩大业务规模，形成长期、良性、可持续发展的业务机制至关重要。本选题研究方向建议：去补贴后“保险+期货”</w:t>
      </w:r>
      <w:r>
        <w:rPr>
          <w:rStyle w:val="14"/>
          <w:rFonts w:ascii="仿宋" w:hAnsi="仿宋" w:eastAsia="仿宋" w:cs="仿宋"/>
          <w:sz w:val="32"/>
          <w:szCs w:val="32"/>
        </w:rPr>
        <w:t>可持续发展模式</w:t>
      </w:r>
      <w:r>
        <w:rPr>
          <w:rStyle w:val="15"/>
          <w:rFonts w:ascii="仿宋" w:hAnsi="仿宋" w:eastAsia="仿宋" w:cs="仿宋"/>
          <w:sz w:val="32"/>
          <w:szCs w:val="32"/>
        </w:rPr>
        <w:t>、品种互换等新工具在“保险+期货”模式中的应用、“保险+期货”服务农业现代化问题与建议等</w:t>
      </w:r>
      <w:r>
        <w:rPr>
          <w:rStyle w:val="15"/>
          <w:rFonts w:ascii="仿宋" w:hAnsi="仿宋" w:eastAsia="仿宋" w:cs="仿宋"/>
          <w:sz w:val="32"/>
          <w:szCs w:val="32"/>
          <w:lang w:eastAsia="zh-CN"/>
        </w:rPr>
        <w:t>（</w:t>
      </w:r>
      <w:r>
        <w:rPr>
          <w:rStyle w:val="15"/>
          <w:rFonts w:hint="eastAsia" w:ascii="仿宋" w:hAnsi="仿宋" w:eastAsia="仿宋" w:cs="仿宋"/>
          <w:sz w:val="32"/>
          <w:szCs w:val="32"/>
          <w:lang w:val="en-US" w:eastAsia="zh-CN"/>
        </w:rPr>
        <w:t>可选择一个方向开展研究</w:t>
      </w:r>
      <w:r>
        <w:rPr>
          <w:rStyle w:val="15"/>
          <w:rFonts w:ascii="仿宋" w:hAnsi="仿宋" w:eastAsia="仿宋" w:cs="仿宋"/>
          <w:sz w:val="32"/>
          <w:szCs w:val="32"/>
          <w:lang w:eastAsia="zh-CN"/>
        </w:rPr>
        <w:t>）</w:t>
      </w:r>
      <w:r>
        <w:t>，旨在通过总结提炼成功经验、探讨潜在创新方向等更好促进其发展。</w:t>
      </w:r>
    </w:p>
    <w:p>
      <w:pPr>
        <w:widowControl/>
        <w:ind w:firstLine="640" w:firstLineChars="200"/>
        <w:textAlignment w:val="center"/>
        <w:rPr>
          <w:rStyle w:val="15"/>
          <w:rFonts w:hint="default" w:ascii="黑体" w:hAnsi="黑体" w:eastAsia="黑体" w:cs="黑体"/>
          <w:sz w:val="32"/>
          <w:szCs w:val="32"/>
          <w:lang w:bidi="ar"/>
        </w:rPr>
      </w:pPr>
      <w:r>
        <w:rPr>
          <w:rFonts w:hint="eastAsia" w:ascii="黑体" w:hAnsi="黑体" w:eastAsia="黑体" w:cs="黑体"/>
          <w:color w:val="000000"/>
          <w:kern w:val="0"/>
          <w:sz w:val="32"/>
          <w:szCs w:val="32"/>
          <w:lang w:bidi="ar"/>
        </w:rPr>
        <w:t>选题四：</w:t>
      </w:r>
      <w:r>
        <w:rPr>
          <w:rStyle w:val="15"/>
          <w:rFonts w:hint="default" w:ascii="黑体" w:hAnsi="黑体" w:eastAsia="黑体" w:cs="黑体"/>
          <w:sz w:val="32"/>
          <w:szCs w:val="32"/>
          <w:lang w:bidi="ar"/>
        </w:rPr>
        <w:t>期货公司服务“一带一路”建设的方式与途径研究</w:t>
      </w:r>
    </w:p>
    <w:p>
      <w:pPr>
        <w:pStyle w:val="8"/>
        <w:rPr>
          <w:rFonts w:hint="default"/>
          <w:color w:val="auto"/>
          <w:shd w:val="clear" w:color="auto" w:fill="FFFFFF"/>
        </w:rPr>
      </w:pPr>
      <w:r>
        <w:rPr>
          <w:color w:val="auto"/>
          <w:shd w:val="clear" w:color="auto" w:fill="FFFFFF"/>
        </w:rPr>
        <w:t>“一带一路”倡议提出十年来，越</w:t>
      </w:r>
      <w:r>
        <w:rPr>
          <w:rFonts w:hint="eastAsia"/>
          <w:color w:val="auto"/>
          <w:shd w:val="clear" w:color="auto" w:fill="FFFFFF"/>
          <w:lang w:val="en-US" w:eastAsia="zh-CN"/>
        </w:rPr>
        <w:t>来</w:t>
      </w:r>
      <w:r>
        <w:rPr>
          <w:color w:val="auto"/>
          <w:shd w:val="clear" w:color="auto" w:fill="FFFFFF"/>
        </w:rPr>
        <w:t>越多的中国实体企业走出国门参与到“一带一路”建设中。随之而来，这些企业也对风险管理产生了实际需求。期货公司如何适应实体企业风险管理需求，利用境内外衍生品市场提供风险管理服务保障企业安全？本课题建议总结期货公司服务“一带一路”建设的方式、路径、成效，并结合实际案例，从促进发挥期货市场功能出发，提出期货公司在优化境外布局、拓展服务路径、提升服务质效等方面的业务发展建议，以更好助力</w:t>
      </w:r>
      <w:r>
        <w:rPr>
          <w:rStyle w:val="15"/>
          <w:rFonts w:ascii="仿宋" w:hAnsi="仿宋" w:eastAsia="仿宋" w:cs="仿宋"/>
          <w:color w:val="auto"/>
          <w:sz w:val="32"/>
          <w:szCs w:val="32"/>
        </w:rPr>
        <w:t>“一带一路”沿线国家企业风险管理，</w:t>
      </w:r>
      <w:r>
        <w:rPr>
          <w:color w:val="auto"/>
          <w:shd w:val="clear" w:color="auto" w:fill="FFFFFF"/>
        </w:rPr>
        <w:t>促进跨境交易和资金流动，推动“一带一路”建设的互联互通。</w:t>
      </w:r>
    </w:p>
    <w:p>
      <w:pPr>
        <w:widowControl/>
        <w:ind w:firstLine="640" w:firstLineChars="200"/>
        <w:textAlignment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选题五：适应中国发展阶段的期货公司业务模式研究</w:t>
      </w:r>
    </w:p>
    <w:p>
      <w:pPr>
        <w:pStyle w:val="8"/>
        <w:rPr>
          <w:rStyle w:val="15"/>
          <w:rFonts w:hint="default" w:ascii="仿宋" w:hAnsi="仿宋" w:eastAsia="仿宋" w:cs="仿宋"/>
          <w:sz w:val="32"/>
          <w:szCs w:val="32"/>
        </w:rPr>
      </w:pPr>
      <w:r>
        <w:rPr>
          <w:rStyle w:val="14"/>
          <w:rFonts w:ascii="仿宋" w:hAnsi="仿宋" w:eastAsia="仿宋" w:cs="仿宋"/>
          <w:sz w:val="32"/>
          <w:szCs w:val="32"/>
        </w:rPr>
        <w:t>2022年8月1日《期货和衍生品法》正式落地，各类监管政策随之出台，期货公司业务范围的进一步拓展为期货公司带来新的发展机遇，新“国九条”也提出“探索适应中国发展阶段的期货监管制度和业务模式，稳慎有序发展期货和衍生品市场”的要求，因此新形势下如何探索</w:t>
      </w:r>
      <w:r>
        <w:t>适应中国发展阶段的业务模式、实现</w:t>
      </w:r>
      <w:r>
        <w:rPr>
          <w:rStyle w:val="14"/>
          <w:rFonts w:ascii="仿宋" w:hAnsi="仿宋" w:eastAsia="仿宋" w:cs="仿宋"/>
          <w:sz w:val="32"/>
          <w:szCs w:val="32"/>
        </w:rPr>
        <w:t>从单一期货经纪商向综合金融服务商的转变是期货公司下一步发展面临的重要课题。本选题研究内容建议包括对期货公司境内外经纪、交易咨询、做市、资管、衍生品交易等各项业务模式的探索与相关政策建议研究</w:t>
      </w:r>
      <w:r>
        <w:rPr>
          <w:rStyle w:val="15"/>
          <w:rFonts w:ascii="仿宋" w:hAnsi="仿宋" w:eastAsia="仿宋" w:cs="仿宋"/>
          <w:sz w:val="32"/>
          <w:szCs w:val="32"/>
          <w:lang w:eastAsia="zh-CN"/>
        </w:rPr>
        <w:t>（</w:t>
      </w:r>
      <w:r>
        <w:rPr>
          <w:rStyle w:val="15"/>
          <w:rFonts w:hint="eastAsia" w:ascii="仿宋" w:hAnsi="仿宋" w:eastAsia="仿宋" w:cs="仿宋"/>
          <w:sz w:val="32"/>
          <w:szCs w:val="32"/>
          <w:lang w:val="en-US" w:eastAsia="zh-CN"/>
        </w:rPr>
        <w:t>可</w:t>
      </w:r>
      <w:r>
        <w:rPr>
          <w:rStyle w:val="14"/>
          <w:rFonts w:hint="eastAsia" w:ascii="仿宋" w:hAnsi="仿宋" w:eastAsia="仿宋" w:cs="仿宋"/>
          <w:sz w:val="32"/>
          <w:szCs w:val="32"/>
          <w:lang w:val="en-US" w:eastAsia="zh-CN"/>
        </w:rPr>
        <w:t>选择一项业务开展研究</w:t>
      </w:r>
      <w:r>
        <w:rPr>
          <w:rStyle w:val="14"/>
          <w:rFonts w:ascii="仿宋" w:hAnsi="仿宋" w:eastAsia="仿宋" w:cs="仿宋"/>
          <w:sz w:val="32"/>
          <w:szCs w:val="32"/>
          <w:lang w:eastAsia="zh-CN"/>
        </w:rPr>
        <w:t>）</w:t>
      </w:r>
      <w:r>
        <w:rPr>
          <w:rStyle w:val="14"/>
          <w:rFonts w:ascii="仿宋" w:hAnsi="仿宋" w:eastAsia="仿宋" w:cs="仿宋"/>
          <w:sz w:val="32"/>
          <w:szCs w:val="32"/>
        </w:rPr>
        <w:t>，以及</w:t>
      </w:r>
      <w:r>
        <w:rPr>
          <w:rStyle w:val="14"/>
          <w:rFonts w:hint="eastAsia" w:ascii="仿宋" w:hAnsi="仿宋" w:eastAsia="仿宋" w:cs="仿宋"/>
          <w:sz w:val="32"/>
          <w:szCs w:val="32"/>
          <w:lang w:val="en-US" w:eastAsia="zh-CN"/>
        </w:rPr>
        <w:t>该</w:t>
      </w:r>
      <w:r>
        <w:rPr>
          <w:rStyle w:val="14"/>
          <w:rFonts w:ascii="仿宋" w:hAnsi="仿宋" w:eastAsia="仿宋" w:cs="仿宋"/>
          <w:sz w:val="32"/>
          <w:szCs w:val="32"/>
        </w:rPr>
        <w:t>业务模式下的风险监测、内部控制、</w:t>
      </w:r>
      <w:r>
        <w:rPr>
          <w:rStyle w:val="15"/>
          <w:rFonts w:ascii="仿宋" w:hAnsi="仿宋" w:eastAsia="仿宋" w:cs="仿宋"/>
          <w:sz w:val="32"/>
          <w:szCs w:val="32"/>
        </w:rPr>
        <w:t>人才配置等配套制度研究等。</w:t>
      </w:r>
    </w:p>
    <w:p>
      <w:pPr>
        <w:widowControl/>
        <w:ind w:firstLine="640" w:firstLineChars="200"/>
        <w:textAlignment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选题六：新监管形势下期货公司风险管理体系建设研究</w:t>
      </w:r>
    </w:p>
    <w:p>
      <w:pPr>
        <w:pStyle w:val="8"/>
        <w:rPr>
          <w:rFonts w:hint="default"/>
          <w:color w:val="auto"/>
        </w:rPr>
      </w:pPr>
      <w:r>
        <w:rPr>
          <w:color w:val="auto"/>
        </w:rPr>
        <w:t>《期货和衍生品法》实施后，期货公司业务版图进一步拓展，所面临的风险形势更加多元复杂。本选题建议研究强监管、防风险、促发展的大背景下，期货公司如何准确识别、计量，有效应对、监测，妥善跟踪、处置自身所面临的各类风险，建立覆盖全业务链条的风险管理体系，提升行业整体风险防范能力。</w:t>
      </w:r>
    </w:p>
    <w:p>
      <w:pPr>
        <w:widowControl/>
        <w:ind w:firstLine="640" w:firstLineChars="200"/>
        <w:textAlignment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选题七：期货公司分类监管评价指标与标准研究</w:t>
      </w:r>
    </w:p>
    <w:p>
      <w:pPr>
        <w:pStyle w:val="8"/>
        <w:rPr>
          <w:rFonts w:hint="default"/>
        </w:rPr>
      </w:pPr>
      <w:r>
        <w:t>期货公司分类监管评价是加强机构监管，促进期货公司持续规范健康发展的有效抓手。本选题建议研究期货公司业务范围调整后，基于现有业务类型和监管要求，如何相应调整和优化期货公司分类监管评价体系，优化指标设计、调整指标权重，以更好反映服务实体经济总体导向，推动期货公司业务转型和行业高质量发展。</w:t>
      </w:r>
    </w:p>
    <w:p>
      <w:pPr>
        <w:widowControl/>
        <w:ind w:firstLine="640" w:firstLineChars="200"/>
        <w:textAlignment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选题八：人工智能在期货公司综合投研、客户服务、智能风控等领域的理论设想和实践应用研究</w:t>
      </w:r>
    </w:p>
    <w:p>
      <w:pPr>
        <w:pStyle w:val="8"/>
        <w:rPr>
          <w:rFonts w:hint="default"/>
        </w:rPr>
      </w:pPr>
      <w:r>
        <w:t>金融科技是期货公司创新服务方式、拓展服务边界、提升服务效能的重要手段。本选题建议在研究人工智能在期货公司综合投研、客户服务、智能风控等方面</w:t>
      </w:r>
      <w:r>
        <w:rPr>
          <w:rStyle w:val="15"/>
          <w:rFonts w:ascii="仿宋" w:hAnsi="仿宋" w:eastAsia="仿宋" w:cs="仿宋"/>
          <w:sz w:val="32"/>
          <w:szCs w:val="32"/>
          <w:lang w:eastAsia="zh-CN"/>
        </w:rPr>
        <w:t>（</w:t>
      </w:r>
      <w:r>
        <w:rPr>
          <w:rStyle w:val="15"/>
          <w:rFonts w:hint="eastAsia" w:ascii="仿宋" w:hAnsi="仿宋" w:eastAsia="仿宋" w:cs="仿宋"/>
          <w:sz w:val="32"/>
          <w:szCs w:val="32"/>
          <w:lang w:val="en-US" w:eastAsia="zh-CN"/>
        </w:rPr>
        <w:t>可选择一个方面开展研究</w:t>
      </w:r>
      <w:r>
        <w:rPr>
          <w:rStyle w:val="15"/>
          <w:rFonts w:ascii="仿宋" w:hAnsi="仿宋" w:eastAsia="仿宋" w:cs="仿宋"/>
          <w:sz w:val="32"/>
          <w:szCs w:val="32"/>
          <w:lang w:eastAsia="zh-CN"/>
        </w:rPr>
        <w:t>）</w:t>
      </w:r>
      <w:r>
        <w:t>应用的理论可行性探索、实践案例分析、存在问题，以及未来的发展建议等。例如，如何利用人工智能对交易客户进行风险评估, 对大宗商品价格异常波动进行监测和预警，对宏观和产业事件进行影响分析等，实现期货公司整体风险监测和防范水平的提升，提高期货公司服务能力和水平。</w:t>
      </w:r>
    </w:p>
    <w:p>
      <w:pPr>
        <w:widowControl/>
        <w:ind w:firstLine="640" w:firstLineChars="200"/>
        <w:textAlignment w:val="center"/>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选题九：期货行业数字化转型能力评估标准研究</w:t>
      </w:r>
    </w:p>
    <w:p>
      <w:pPr>
        <w:pStyle w:val="8"/>
        <w:rPr>
          <w:rFonts w:hint="default"/>
        </w:rPr>
      </w:pPr>
      <w:r>
        <w:t>数字化转型是期货公司未来发展的重要趋势。本选题旨在研究期货行业现有数字化转型水平，研究内容建议包括行业数字化转型现状、痛点难点，并借鉴参考国内外标准及模型，设计符合行业特点的数字化转型评估模型和标准，最终提出行业数字化转型的优化建议，包括数字化转型总体目标</w:t>
      </w:r>
      <w:r>
        <w:rPr>
          <w:rFonts w:hint="eastAsia"/>
          <w:lang w:eastAsia="zh-CN"/>
        </w:rPr>
        <w:t>、</w:t>
      </w:r>
      <w:r>
        <w:t>实施路径等，以期对行业整体数字化转型工作提供借鉴和参考。</w:t>
      </w:r>
    </w:p>
    <w:p>
      <w:pPr>
        <w:pStyle w:val="9"/>
        <w:ind w:firstLine="640"/>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xNGQ1ZmRjYzRhOTI4NTNmOTUwZWUxNDY3NDYzYTYifQ=="/>
  </w:docVars>
  <w:rsids>
    <w:rsidRoot w:val="00BD7B7B"/>
    <w:rsid w:val="0036709B"/>
    <w:rsid w:val="00574556"/>
    <w:rsid w:val="005C6D70"/>
    <w:rsid w:val="00627262"/>
    <w:rsid w:val="007428A0"/>
    <w:rsid w:val="007F6A72"/>
    <w:rsid w:val="009A1F62"/>
    <w:rsid w:val="00A86444"/>
    <w:rsid w:val="00BD7B7B"/>
    <w:rsid w:val="00C22BB1"/>
    <w:rsid w:val="00C46FAF"/>
    <w:rsid w:val="00C50B49"/>
    <w:rsid w:val="00CA5B55"/>
    <w:rsid w:val="00CB67A8"/>
    <w:rsid w:val="00CC4396"/>
    <w:rsid w:val="00D427FB"/>
    <w:rsid w:val="00D56CD9"/>
    <w:rsid w:val="00DC40D7"/>
    <w:rsid w:val="00DD4E48"/>
    <w:rsid w:val="00DF0622"/>
    <w:rsid w:val="00E978C2"/>
    <w:rsid w:val="00F45B54"/>
    <w:rsid w:val="01535634"/>
    <w:rsid w:val="049F5CAE"/>
    <w:rsid w:val="255A60C2"/>
    <w:rsid w:val="2D7D32D9"/>
    <w:rsid w:val="38AE2074"/>
    <w:rsid w:val="3E3C4A32"/>
    <w:rsid w:val="6276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1.题目"/>
    <w:basedOn w:val="1"/>
    <w:qFormat/>
    <w:uiPriority w:val="0"/>
    <w:pPr>
      <w:snapToGrid w:val="0"/>
      <w:spacing w:line="560" w:lineRule="exact"/>
      <w:jc w:val="center"/>
    </w:pPr>
    <w:rPr>
      <w:rFonts w:hint="eastAsia" w:ascii="方正小标宋简体" w:hAnsi="方正小标宋简体" w:eastAsia="方正小标宋简体" w:cs="方正小标宋简体"/>
      <w:b/>
      <w:bCs/>
      <w:sz w:val="44"/>
      <w:szCs w:val="20"/>
    </w:rPr>
  </w:style>
  <w:style w:type="paragraph" w:customStyle="1" w:styleId="8">
    <w:name w:val="4.正文"/>
    <w:basedOn w:val="1"/>
    <w:qFormat/>
    <w:uiPriority w:val="0"/>
    <w:pPr>
      <w:tabs>
        <w:tab w:val="left" w:pos="7797"/>
      </w:tabs>
      <w:spacing w:line="560" w:lineRule="exact"/>
      <w:ind w:firstLine="640" w:firstLineChars="200"/>
    </w:pPr>
    <w:rPr>
      <w:rFonts w:hint="eastAsia" w:ascii="仿宋" w:hAnsi="仿宋" w:eastAsia="仿宋" w:cs="仿宋"/>
      <w:color w:val="000000"/>
      <w:kern w:val="0"/>
      <w:sz w:val="32"/>
      <w:szCs w:val="32"/>
    </w:rPr>
  </w:style>
  <w:style w:type="paragraph" w:customStyle="1" w:styleId="9">
    <w:name w:val="2.一级目录"/>
    <w:basedOn w:val="8"/>
    <w:next w:val="8"/>
    <w:qFormat/>
    <w:uiPriority w:val="0"/>
    <w:pPr>
      <w:ind w:firstLine="200"/>
    </w:pPr>
    <w:rPr>
      <w:rFonts w:ascii="黑体" w:hAnsi="黑体" w:eastAsia="黑体"/>
    </w:rPr>
  </w:style>
  <w:style w:type="paragraph" w:customStyle="1" w:styleId="10">
    <w:name w:val="一级目录"/>
    <w:basedOn w:val="1"/>
    <w:qFormat/>
    <w:uiPriority w:val="0"/>
    <w:pPr>
      <w:tabs>
        <w:tab w:val="left" w:pos="7797"/>
      </w:tabs>
      <w:spacing w:line="560" w:lineRule="exact"/>
    </w:pPr>
    <w:rPr>
      <w:rFonts w:hint="eastAsia" w:ascii="仿宋" w:hAnsi="仿宋" w:eastAsia="仿宋" w:cs="仿宋"/>
      <w:color w:val="000000"/>
      <w:kern w:val="0"/>
      <w:sz w:val="32"/>
      <w:szCs w:val="32"/>
    </w:rPr>
  </w:style>
  <w:style w:type="paragraph" w:customStyle="1" w:styleId="11">
    <w:name w:val="3.二级目录"/>
    <w:basedOn w:val="1"/>
    <w:next w:val="8"/>
    <w:qFormat/>
    <w:uiPriority w:val="0"/>
    <w:pPr>
      <w:tabs>
        <w:tab w:val="left" w:pos="7797"/>
      </w:tabs>
      <w:spacing w:line="560" w:lineRule="exact"/>
      <w:ind w:firstLine="640" w:firstLineChars="200"/>
    </w:pPr>
    <w:rPr>
      <w:rFonts w:hint="eastAsia" w:ascii="楷体" w:hAnsi="楷体" w:eastAsia="楷体" w:cs="楷体"/>
      <w:color w:val="000000"/>
      <w:kern w:val="0"/>
      <w:sz w:val="32"/>
      <w:szCs w:val="32"/>
    </w:rPr>
  </w:style>
  <w:style w:type="character" w:customStyle="1" w:styleId="12">
    <w:name w:val="页眉 字符"/>
    <w:basedOn w:val="6"/>
    <w:link w:val="4"/>
    <w:qFormat/>
    <w:uiPriority w:val="99"/>
    <w:rPr>
      <w:sz w:val="18"/>
      <w:szCs w:val="18"/>
    </w:rPr>
  </w:style>
  <w:style w:type="character" w:customStyle="1" w:styleId="13">
    <w:name w:val="页脚 字符"/>
    <w:basedOn w:val="6"/>
    <w:link w:val="3"/>
    <w:qFormat/>
    <w:uiPriority w:val="99"/>
    <w:rPr>
      <w:sz w:val="18"/>
      <w:szCs w:val="18"/>
    </w:rPr>
  </w:style>
  <w:style w:type="character" w:customStyle="1" w:styleId="14">
    <w:name w:val="font21"/>
    <w:basedOn w:val="6"/>
    <w:qFormat/>
    <w:uiPriority w:val="0"/>
    <w:rPr>
      <w:rFonts w:hint="eastAsia" w:ascii="宋体" w:hAnsi="宋体" w:eastAsia="宋体" w:cs="宋体"/>
      <w:color w:val="000000"/>
      <w:sz w:val="28"/>
      <w:szCs w:val="28"/>
      <w:u w:val="none"/>
    </w:rPr>
  </w:style>
  <w:style w:type="character" w:customStyle="1" w:styleId="15">
    <w:name w:val="font31"/>
    <w:basedOn w:val="6"/>
    <w:qFormat/>
    <w:uiPriority w:val="0"/>
    <w:rPr>
      <w:rFonts w:hint="eastAsia" w:ascii="宋体" w:hAnsi="宋体" w:eastAsia="宋体" w:cs="宋体"/>
      <w:color w:val="000000"/>
      <w:sz w:val="28"/>
      <w:szCs w:val="28"/>
      <w:u w:val="none"/>
    </w:rPr>
  </w:style>
  <w:style w:type="character" w:customStyle="1" w:styleId="16">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1953</Words>
  <Characters>1959</Characters>
  <Lines>13</Lines>
  <Paragraphs>3</Paragraphs>
  <TotalTime>7</TotalTime>
  <ScaleCrop>false</ScaleCrop>
  <LinksUpToDate>false</LinksUpToDate>
  <CharactersWithSpaces>1961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2024-06-19T08:37:00Z</dcterms:created>
  <dc:creator>Lenovo</dc:creator>
  <cp:lastModifiedBy>Bubble</cp:lastModifiedBy>
  <cp:lastPrinted>2024-06-19T00:48:00Z</cp:lastPrinted>
  <dcterms:modified xsi:type="dcterms:W3CDTF">2024-06-26T05:54:59Z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2A4EDC93925045EEBED5C1EDA3D22D47_12</vt:lpwstr>
  </property>
</Properties>
</file>