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Theme="majorHAnsi" w:hAnsiTheme="majorHAnsi" w:eastAsiaTheme="majorEastAsia" w:cstheme="majorBidi"/>
          <w:caps/>
          <w:color w:val="17375E" w:themeColor="text2" w:themeShade="BF"/>
          <w:kern w:val="2"/>
          <w:sz w:val="24"/>
          <w:szCs w:val="24"/>
        </w:rPr>
        <w:id w:val="25965034"/>
        <w:docPartObj>
          <w:docPartGallery w:val="AutoText"/>
        </w:docPartObj>
      </w:sdtPr>
      <w:sdtEndPr>
        <w:rPr>
          <w:rFonts w:ascii="仿宋" w:hAnsi="仿宋" w:eastAsia="仿宋" w:cs="Times New Roman"/>
          <w:b/>
          <w:caps w:val="0"/>
          <w:color w:val="auto"/>
          <w:kern w:val="2"/>
          <w:sz w:val="24"/>
          <w:szCs w:val="24"/>
        </w:rPr>
      </w:sdtEndPr>
      <w:sdtContent>
        <w:tbl>
          <w:tblPr>
            <w:tblStyle w:val="24"/>
            <w:tblW w:w="8522" w:type="dxa"/>
            <w:jc w:val="center"/>
            <w:tblInd w:w="0" w:type="dxa"/>
            <w:tblLayout w:type="fixed"/>
            <w:tblCellMar>
              <w:top w:w="0" w:type="dxa"/>
              <w:left w:w="108" w:type="dxa"/>
              <w:bottom w:w="0" w:type="dxa"/>
              <w:right w:w="108" w:type="dxa"/>
            </w:tblCellMar>
          </w:tblPr>
          <w:tblGrid>
            <w:gridCol w:w="8522"/>
          </w:tblGrid>
          <w:tr>
            <w:tblPrEx>
              <w:tblLayout w:type="fixed"/>
              <w:tblCellMar>
                <w:top w:w="0" w:type="dxa"/>
                <w:left w:w="108" w:type="dxa"/>
                <w:bottom w:w="0" w:type="dxa"/>
                <w:right w:w="108" w:type="dxa"/>
              </w:tblCellMar>
            </w:tblPrEx>
            <w:trPr>
              <w:trHeight w:val="2880" w:hRule="atLeast"/>
              <w:jc w:val="center"/>
            </w:trPr>
            <w:tc>
              <w:tcPr>
                <w:tcW w:w="8522" w:type="dxa"/>
              </w:tcPr>
              <w:p>
                <w:pPr>
                  <w:pStyle w:val="46"/>
                  <w:jc w:val="center"/>
                  <w:rPr>
                    <w:rFonts w:asciiTheme="majorHAnsi" w:hAnsiTheme="majorHAnsi" w:eastAsiaTheme="majorEastAsia" w:cstheme="majorBidi"/>
                    <w:caps/>
                    <w:color w:val="17375E" w:themeColor="text2" w:themeShade="BF"/>
                    <w:sz w:val="24"/>
                    <w:szCs w:val="24"/>
                  </w:rPr>
                </w:pPr>
              </w:p>
            </w:tc>
          </w:tr>
          <w:tr>
            <w:tblPrEx>
              <w:tblLayout w:type="fixed"/>
              <w:tblCellMar>
                <w:top w:w="0" w:type="dxa"/>
                <w:left w:w="108" w:type="dxa"/>
                <w:bottom w:w="0" w:type="dxa"/>
                <w:right w:w="108" w:type="dxa"/>
              </w:tblCellMar>
            </w:tblPrEx>
            <w:trPr>
              <w:trHeight w:val="1440" w:hRule="atLeast"/>
              <w:jc w:val="center"/>
            </w:trPr>
            <w:sdt>
              <w:sdtPr>
                <w:rPr>
                  <w:rFonts w:asciiTheme="majorHAnsi" w:hAnsiTheme="majorHAnsi" w:eastAsiaTheme="majorEastAsia" w:cstheme="majorBidi"/>
                  <w:sz w:val="52"/>
                  <w:szCs w:val="52"/>
                </w:rPr>
                <w:alias w:val="标题"/>
                <w:id w:val="15524250"/>
                <w15:dataBinding w:prefixMappings="xmlns:ns0='http://schemas.openxmlformats.org/package/2006/metadata/core-properties' xmlns:ns1='http://purl.org/dc/elements/1.1/'" w:xpath="/ns0:coreProperties[1]/ns1:title[1]" w:storeItemID="{6C3C8BC8-F283-45AE-878A-BAB7291924A1}"/>
                <w:text/>
              </w:sdtPr>
              <w:sdtEndPr>
                <w:rPr>
                  <w:rFonts w:asciiTheme="majorHAnsi" w:hAnsiTheme="majorHAnsi" w:eastAsiaTheme="majorEastAsia" w:cstheme="majorBidi"/>
                  <w:sz w:val="52"/>
                  <w:szCs w:val="52"/>
                </w:rPr>
              </w:sdtEndPr>
              <w:sdtContent>
                <w:tc>
                  <w:tcPr>
                    <w:tcW w:w="8522" w:type="dxa"/>
                    <w:tcBorders>
                      <w:bottom w:val="single" w:color="4F81BD" w:themeColor="accent1" w:sz="4" w:space="0"/>
                    </w:tcBorders>
                    <w:vAlign w:val="center"/>
                  </w:tcPr>
                  <w:p>
                    <w:pPr>
                      <w:pStyle w:val="46"/>
                      <w:jc w:val="center"/>
                      <w:rPr>
                        <w:rFonts w:asciiTheme="majorHAnsi" w:hAnsiTheme="majorHAnsi" w:eastAsiaTheme="majorEastAsia" w:cstheme="majorBidi"/>
                        <w:sz w:val="24"/>
                        <w:szCs w:val="24"/>
                      </w:rPr>
                    </w:pPr>
                    <w:r>
                      <w:rPr>
                        <w:rFonts w:hint="eastAsia" w:asciiTheme="majorHAnsi" w:hAnsiTheme="majorHAnsi" w:eastAsiaTheme="majorEastAsia" w:cstheme="majorBidi"/>
                        <w:sz w:val="52"/>
                        <w:szCs w:val="52"/>
                      </w:rPr>
                      <w:t>期货公司高管资质测试大纲</w:t>
                    </w:r>
                  </w:p>
                </w:tc>
              </w:sdtContent>
            </w:sdt>
          </w:tr>
          <w:tr>
            <w:tblPrEx>
              <w:tblLayout w:type="fixed"/>
              <w:tblCellMar>
                <w:top w:w="0" w:type="dxa"/>
                <w:left w:w="108" w:type="dxa"/>
                <w:bottom w:w="0" w:type="dxa"/>
                <w:right w:w="108" w:type="dxa"/>
              </w:tblCellMar>
            </w:tblPrEx>
            <w:trPr>
              <w:trHeight w:val="720" w:hRule="atLeast"/>
              <w:jc w:val="center"/>
            </w:trPr>
            <w:sdt>
              <w:sdtPr>
                <w:rPr>
                  <w:rFonts w:asciiTheme="majorHAnsi" w:hAnsiTheme="majorHAnsi" w:eastAsiaTheme="majorEastAsia" w:cstheme="majorBidi"/>
                  <w:sz w:val="44"/>
                  <w:szCs w:val="44"/>
                </w:rPr>
                <w:alias w:val="副标题"/>
                <w:id w:val="15524255"/>
                <w15:dataBinding w:prefixMappings="xmlns:ns0='http://schemas.openxmlformats.org/package/2006/metadata/core-properties' xmlns:ns1='http://purl.org/dc/elements/1.1/'" w:xpath="/ns0:coreProperties[1]/ns1:subject[1]" w:storeItemID="{6C3C8BC8-F283-45AE-878A-BAB7291924A1}"/>
                <w:text/>
              </w:sdtPr>
              <w:sdtEndPr>
                <w:rPr>
                  <w:rFonts w:asciiTheme="majorHAnsi" w:hAnsiTheme="majorHAnsi" w:eastAsiaTheme="majorEastAsia" w:cstheme="majorBidi"/>
                  <w:sz w:val="44"/>
                  <w:szCs w:val="44"/>
                </w:rPr>
              </w:sdtEndPr>
              <w:sdtContent>
                <w:tc>
                  <w:tcPr>
                    <w:tcW w:w="8522" w:type="dxa"/>
                    <w:tcBorders>
                      <w:top w:val="single" w:color="4F81BD" w:themeColor="accent1" w:sz="4" w:space="0"/>
                    </w:tcBorders>
                    <w:vAlign w:val="center"/>
                  </w:tcPr>
                  <w:p>
                    <w:pPr>
                      <w:pStyle w:val="46"/>
                      <w:jc w:val="center"/>
                      <w:rPr>
                        <w:rFonts w:asciiTheme="majorHAnsi" w:hAnsiTheme="majorHAnsi" w:eastAsiaTheme="majorEastAsia" w:cstheme="majorBidi"/>
                        <w:sz w:val="24"/>
                        <w:szCs w:val="24"/>
                      </w:rPr>
                    </w:pPr>
                    <w:r>
                      <w:rPr>
                        <w:rFonts w:hint="eastAsia" w:asciiTheme="majorHAnsi" w:hAnsiTheme="majorHAnsi" w:eastAsiaTheme="majorEastAsia" w:cstheme="majorBidi"/>
                        <w:sz w:val="44"/>
                        <w:szCs w:val="44"/>
                      </w:rPr>
                      <w:t>首席风险官</w:t>
                    </w:r>
                  </w:p>
                </w:tc>
              </w:sdtContent>
            </w:sdt>
          </w:tr>
          <w:tr>
            <w:tblPrEx>
              <w:tblLayout w:type="fixed"/>
              <w:tblCellMar>
                <w:top w:w="0" w:type="dxa"/>
                <w:left w:w="108" w:type="dxa"/>
                <w:bottom w:w="0" w:type="dxa"/>
                <w:right w:w="108" w:type="dxa"/>
              </w:tblCellMar>
            </w:tblPrEx>
            <w:trPr>
              <w:trHeight w:val="360" w:hRule="atLeast"/>
              <w:jc w:val="center"/>
            </w:trPr>
            <w:tc>
              <w:tcPr>
                <w:tcW w:w="8522" w:type="dxa"/>
                <w:vAlign w:val="center"/>
              </w:tcPr>
              <w:p>
                <w:pPr>
                  <w:pStyle w:val="46"/>
                  <w:jc w:val="center"/>
                  <w:rPr>
                    <w:sz w:val="24"/>
                    <w:szCs w:val="24"/>
                  </w:rPr>
                </w:pPr>
              </w:p>
              <w:p>
                <w:pPr>
                  <w:pStyle w:val="46"/>
                  <w:jc w:val="center"/>
                  <w:rPr>
                    <w:sz w:val="24"/>
                    <w:szCs w:val="24"/>
                  </w:rPr>
                </w:pPr>
              </w:p>
              <w:p>
                <w:pPr>
                  <w:pStyle w:val="46"/>
                  <w:jc w:val="center"/>
                  <w:rPr>
                    <w:sz w:val="24"/>
                    <w:szCs w:val="24"/>
                  </w:rPr>
                </w:pPr>
              </w:p>
              <w:p>
                <w:pPr>
                  <w:pStyle w:val="46"/>
                  <w:jc w:val="center"/>
                  <w:rPr>
                    <w:sz w:val="24"/>
                    <w:szCs w:val="24"/>
                  </w:rPr>
                </w:pPr>
              </w:p>
              <w:p>
                <w:pPr>
                  <w:pStyle w:val="46"/>
                  <w:jc w:val="center"/>
                  <w:rPr>
                    <w:sz w:val="24"/>
                    <w:szCs w:val="24"/>
                  </w:rPr>
                </w:pPr>
              </w:p>
              <w:p>
                <w:pPr>
                  <w:pStyle w:val="46"/>
                  <w:jc w:val="center"/>
                  <w:rPr>
                    <w:sz w:val="24"/>
                    <w:szCs w:val="24"/>
                  </w:rPr>
                </w:pPr>
              </w:p>
              <w:p>
                <w:pPr>
                  <w:pStyle w:val="46"/>
                  <w:jc w:val="center"/>
                  <w:rPr>
                    <w:sz w:val="24"/>
                    <w:szCs w:val="24"/>
                  </w:rPr>
                </w:pPr>
              </w:p>
              <w:p>
                <w:pPr>
                  <w:pStyle w:val="46"/>
                  <w:jc w:val="center"/>
                  <w:rPr>
                    <w:sz w:val="24"/>
                    <w:szCs w:val="24"/>
                  </w:rPr>
                </w:pPr>
              </w:p>
              <w:p>
                <w:pPr>
                  <w:pStyle w:val="46"/>
                  <w:jc w:val="center"/>
                  <w:rPr>
                    <w:sz w:val="24"/>
                    <w:szCs w:val="24"/>
                  </w:rPr>
                </w:pPr>
              </w:p>
              <w:p>
                <w:pPr>
                  <w:pStyle w:val="46"/>
                  <w:jc w:val="center"/>
                  <w:rPr>
                    <w:sz w:val="24"/>
                    <w:szCs w:val="24"/>
                  </w:rPr>
                </w:pPr>
              </w:p>
              <w:p>
                <w:pPr>
                  <w:pStyle w:val="46"/>
                  <w:jc w:val="center"/>
                  <w:rPr>
                    <w:sz w:val="24"/>
                    <w:szCs w:val="24"/>
                  </w:rPr>
                </w:pPr>
              </w:p>
              <w:p>
                <w:pPr>
                  <w:pStyle w:val="46"/>
                  <w:jc w:val="center"/>
                  <w:rPr>
                    <w:sz w:val="24"/>
                    <w:szCs w:val="24"/>
                  </w:rPr>
                </w:pPr>
              </w:p>
              <w:p>
                <w:pPr>
                  <w:pStyle w:val="46"/>
                  <w:jc w:val="center"/>
                  <w:rPr>
                    <w:sz w:val="24"/>
                    <w:szCs w:val="24"/>
                  </w:rPr>
                </w:pPr>
              </w:p>
              <w:p>
                <w:pPr>
                  <w:pStyle w:val="46"/>
                  <w:jc w:val="center"/>
                  <w:rPr>
                    <w:sz w:val="24"/>
                    <w:szCs w:val="24"/>
                  </w:rPr>
                </w:pPr>
              </w:p>
              <w:p>
                <w:pPr>
                  <w:pStyle w:val="46"/>
                  <w:jc w:val="center"/>
                  <w:rPr>
                    <w:sz w:val="24"/>
                    <w:szCs w:val="24"/>
                  </w:rPr>
                </w:pPr>
              </w:p>
              <w:p>
                <w:pPr>
                  <w:pStyle w:val="46"/>
                  <w:jc w:val="center"/>
                  <w:rPr>
                    <w:sz w:val="24"/>
                    <w:szCs w:val="24"/>
                  </w:rPr>
                </w:pPr>
              </w:p>
              <w:p>
                <w:pPr>
                  <w:pStyle w:val="46"/>
                  <w:jc w:val="center"/>
                  <w:rPr>
                    <w:sz w:val="24"/>
                    <w:szCs w:val="24"/>
                  </w:rPr>
                </w:pPr>
              </w:p>
              <w:p>
                <w:pPr>
                  <w:pStyle w:val="46"/>
                  <w:jc w:val="center"/>
                  <w:rPr>
                    <w:sz w:val="24"/>
                    <w:szCs w:val="24"/>
                  </w:rPr>
                </w:pPr>
              </w:p>
            </w:tc>
          </w:tr>
          <w:tr>
            <w:tblPrEx>
              <w:tblLayout w:type="fixed"/>
              <w:tblCellMar>
                <w:top w:w="0" w:type="dxa"/>
                <w:left w:w="108" w:type="dxa"/>
                <w:bottom w:w="0" w:type="dxa"/>
                <w:right w:w="108" w:type="dxa"/>
              </w:tblCellMar>
            </w:tblPrEx>
            <w:trPr>
              <w:trHeight w:val="360" w:hRule="atLeast"/>
              <w:jc w:val="center"/>
            </w:trPr>
            <w:sdt>
              <w:sdtPr>
                <w:rPr>
                  <w:b/>
                  <w:bCs/>
                  <w:sz w:val="24"/>
                  <w:szCs w:val="24"/>
                </w:rPr>
                <w:alias w:val="作者"/>
                <w:id w:val="15524260"/>
                <w15:dataBinding w:prefixMappings="xmlns:ns0='http://schemas.openxmlformats.org/package/2006/metadata/core-properties' xmlns:ns1='http://purl.org/dc/elements/1.1/'" w:xpath="/ns0:coreProperties[1]/ns1:creator[1]" w:storeItemID="{6C3C8BC8-F283-45AE-878A-BAB7291924A1}"/>
                <w:text/>
              </w:sdtPr>
              <w:sdtEndPr>
                <w:rPr>
                  <w:b/>
                  <w:bCs/>
                  <w:sz w:val="24"/>
                  <w:szCs w:val="24"/>
                </w:rPr>
              </w:sdtEndPr>
              <w:sdtContent>
                <w:tc>
                  <w:tcPr>
                    <w:tcW w:w="8522" w:type="dxa"/>
                    <w:vAlign w:val="center"/>
                  </w:tcPr>
                  <w:p>
                    <w:pPr>
                      <w:pStyle w:val="46"/>
                      <w:jc w:val="center"/>
                      <w:rPr>
                        <w:b/>
                        <w:bCs/>
                        <w:sz w:val="24"/>
                        <w:szCs w:val="24"/>
                      </w:rPr>
                    </w:pPr>
                    <w:r>
                      <w:rPr>
                        <w:rFonts w:hint="eastAsia"/>
                        <w:b/>
                        <w:bCs/>
                        <w:sz w:val="24"/>
                        <w:szCs w:val="24"/>
                      </w:rPr>
                      <w:t>中国期货业协会</w:t>
                    </w:r>
                  </w:p>
                </w:tc>
              </w:sdtContent>
            </w:sdt>
          </w:tr>
          <w:tr>
            <w:tblPrEx>
              <w:tblLayout w:type="fixed"/>
              <w:tblCellMar>
                <w:top w:w="0" w:type="dxa"/>
                <w:left w:w="108" w:type="dxa"/>
                <w:bottom w:w="0" w:type="dxa"/>
                <w:right w:w="108" w:type="dxa"/>
              </w:tblCellMar>
            </w:tblPrEx>
            <w:trPr>
              <w:trHeight w:val="360" w:hRule="atLeast"/>
              <w:jc w:val="center"/>
            </w:trPr>
            <w:tc>
              <w:tcPr>
                <w:tcW w:w="8522" w:type="dxa"/>
                <w:vAlign w:val="center"/>
              </w:tcPr>
              <w:p>
                <w:pPr>
                  <w:pStyle w:val="46"/>
                  <w:jc w:val="center"/>
                  <w:rPr>
                    <w:rFonts w:ascii="仿宋" w:hAnsi="仿宋" w:eastAsia="仿宋"/>
                    <w:b/>
                    <w:bCs/>
                    <w:sz w:val="24"/>
                    <w:szCs w:val="24"/>
                  </w:rPr>
                </w:pPr>
                <w:r>
                  <w:rPr>
                    <w:rFonts w:hint="eastAsia" w:ascii="仿宋" w:hAnsi="仿宋" w:eastAsia="仿宋"/>
                    <w:b/>
                    <w:bCs/>
                    <w:sz w:val="24"/>
                    <w:szCs w:val="24"/>
                  </w:rPr>
                  <w:t>201</w:t>
                </w:r>
                <w:r>
                  <w:rPr>
                    <w:rFonts w:ascii="仿宋" w:hAnsi="仿宋" w:eastAsia="仿宋"/>
                    <w:b/>
                    <w:bCs/>
                    <w:sz w:val="24"/>
                    <w:szCs w:val="24"/>
                  </w:rPr>
                  <w:t>9</w:t>
                </w:r>
                <w:r>
                  <w:rPr>
                    <w:rFonts w:hint="eastAsia" w:ascii="仿宋" w:hAnsi="仿宋" w:eastAsia="仿宋"/>
                    <w:b/>
                    <w:bCs/>
                    <w:sz w:val="24"/>
                    <w:szCs w:val="24"/>
                  </w:rPr>
                  <w:t>年3月</w:t>
                </w:r>
              </w:p>
            </w:tc>
          </w:tr>
        </w:tbl>
        <w:p/>
        <w:p>
          <w:pPr>
            <w:widowControl/>
            <w:jc w:val="left"/>
          </w:pPr>
          <w:r>
            <w:br w:type="page"/>
          </w:r>
        </w:p>
        <w:p>
          <w:pPr>
            <w:widowControl/>
            <w:jc w:val="left"/>
            <w:rPr>
              <w:rFonts w:ascii="仿宋" w:hAnsi="仿宋"/>
              <w:b/>
            </w:rPr>
          </w:pPr>
        </w:p>
      </w:sdtContent>
    </w:sdt>
    <w:p>
      <w:pPr>
        <w:rPr>
          <w:rFonts w:ascii="仿宋" w:hAnsi="仿宋"/>
          <w:b/>
        </w:rPr>
        <w:sectPr>
          <w:headerReference r:id="rId4" w:type="first"/>
          <w:footerReference r:id="rId6" w:type="first"/>
          <w:headerReference r:id="rId3" w:type="default"/>
          <w:footerReference r:id="rId5" w:type="even"/>
          <w:pgSz w:w="11906" w:h="16838"/>
          <w:pgMar w:top="1440" w:right="1800" w:bottom="1440" w:left="1800" w:header="851" w:footer="992" w:gutter="0"/>
          <w:cols w:space="425" w:num="1"/>
          <w:titlePg/>
          <w:docGrid w:type="lines" w:linePitch="326" w:charSpace="0"/>
        </w:sectPr>
      </w:pPr>
    </w:p>
    <w:p>
      <w:pPr>
        <w:rPr>
          <w:rFonts w:ascii="仿宋" w:hAnsi="仿宋"/>
          <w:b/>
        </w:rPr>
      </w:pPr>
    </w:p>
    <w:sdt>
      <w:sdtPr>
        <w:rPr>
          <w:rFonts w:ascii="Times New Roman" w:hAnsi="Times New Roman" w:eastAsia="仿宋" w:cs="Times New Roman"/>
          <w:b w:val="0"/>
          <w:bCs w:val="0"/>
          <w:color w:val="auto"/>
          <w:kern w:val="2"/>
          <w:sz w:val="24"/>
          <w:szCs w:val="24"/>
          <w:lang w:val="zh-CN"/>
        </w:rPr>
        <w:id w:val="25965019"/>
        <w:docPartObj>
          <w:docPartGallery w:val="Table of Contents"/>
          <w:docPartUnique/>
        </w:docPartObj>
      </w:sdtPr>
      <w:sdtEndPr>
        <w:rPr>
          <w:rFonts w:ascii="Times New Roman" w:hAnsi="Times New Roman" w:eastAsia="仿宋" w:cs="Times New Roman"/>
          <w:b w:val="0"/>
          <w:bCs w:val="0"/>
          <w:color w:val="auto"/>
          <w:kern w:val="2"/>
          <w:sz w:val="24"/>
          <w:szCs w:val="24"/>
          <w:lang w:val="en-US"/>
        </w:rPr>
      </w:sdtEndPr>
      <w:sdtContent>
        <w:p>
          <w:pPr>
            <w:pStyle w:val="45"/>
            <w:spacing w:before="0"/>
            <w:ind w:left="94" w:leftChars="39"/>
            <w:jc w:val="center"/>
            <w:rPr>
              <w:rFonts w:ascii="仿宋" w:hAnsi="仿宋" w:eastAsia="仿宋"/>
              <w:color w:val="auto"/>
              <w:sz w:val="36"/>
              <w:szCs w:val="36"/>
            </w:rPr>
          </w:pPr>
          <w:r>
            <w:rPr>
              <w:rFonts w:hint="eastAsia" w:ascii="仿宋" w:hAnsi="仿宋" w:eastAsia="仿宋"/>
              <w:color w:val="auto"/>
              <w:sz w:val="36"/>
              <w:szCs w:val="36"/>
            </w:rPr>
            <w:t>期货公司高管资质测试大纲</w:t>
          </w:r>
        </w:p>
        <w:p>
          <w:pPr>
            <w:pStyle w:val="45"/>
            <w:spacing w:before="0" w:line="360" w:lineRule="auto"/>
            <w:jc w:val="center"/>
            <w:rPr>
              <w:color w:val="auto"/>
              <w:sz w:val="24"/>
              <w:szCs w:val="24"/>
            </w:rPr>
          </w:pPr>
          <w:r>
            <w:rPr>
              <w:rFonts w:hint="eastAsia" w:ascii="仿宋" w:hAnsi="仿宋" w:eastAsia="仿宋" w:cs="Times New Roman"/>
              <w:color w:val="auto"/>
              <w:sz w:val="36"/>
              <w:szCs w:val="36"/>
              <w:lang w:val="zh-CN" w:eastAsia="zh-CN"/>
            </w:rPr>
            <w:t>（首席风险官）</w:t>
          </w:r>
        </w:p>
        <w:p>
          <w:pPr>
            <w:pStyle w:val="45"/>
            <w:jc w:val="center"/>
            <w:rPr>
              <w:rFonts w:ascii="仿宋" w:hAnsi="仿宋" w:eastAsia="仿宋" w:cs="Times New Roman"/>
              <w:color w:val="auto"/>
              <w:szCs w:val="36"/>
              <w:lang w:val="zh-CN" w:eastAsia="zh-CN"/>
            </w:rPr>
          </w:pPr>
          <w:r>
            <w:rPr>
              <w:rFonts w:ascii="仿宋" w:hAnsi="仿宋" w:eastAsia="仿宋" w:cs="Times New Roman"/>
              <w:color w:val="auto"/>
              <w:szCs w:val="36"/>
              <w:lang w:val="zh-CN" w:eastAsia="zh-CN"/>
            </w:rPr>
            <w:t>目录</w:t>
          </w:r>
        </w:p>
        <w:p>
          <w:pPr>
            <w:pStyle w:val="15"/>
            <w:tabs>
              <w:tab w:val="right" w:leader="dot" w:pos="8296"/>
            </w:tabs>
            <w:rPr>
              <w:rFonts w:asciiTheme="minorHAnsi" w:hAnsiTheme="minorHAnsi" w:eastAsiaTheme="minorEastAsia" w:cstheme="minorBidi"/>
              <w:sz w:val="21"/>
              <w:szCs w:val="22"/>
            </w:rPr>
          </w:pPr>
          <w:r>
            <w:fldChar w:fldCharType="begin"/>
          </w:r>
          <w:r>
            <w:instrText xml:space="preserve"> TOC \o "1-3" \h \z \u </w:instrText>
          </w:r>
          <w:r>
            <w:fldChar w:fldCharType="separate"/>
          </w:r>
          <w:r>
            <w:fldChar w:fldCharType="begin"/>
          </w:r>
          <w:r>
            <w:instrText xml:space="preserve"> HYPERLINK \l "_Toc3896668" </w:instrText>
          </w:r>
          <w:r>
            <w:fldChar w:fldCharType="separate"/>
          </w:r>
          <w:r>
            <w:rPr>
              <w:rStyle w:val="28"/>
              <w:rFonts w:hint="eastAsia"/>
              <w:color w:val="auto"/>
            </w:rPr>
            <w:t>第一部分</w:t>
          </w:r>
          <w:r>
            <w:rPr>
              <w:rStyle w:val="28"/>
              <w:color w:val="auto"/>
            </w:rPr>
            <w:t xml:space="preserve"> </w:t>
          </w:r>
          <w:r>
            <w:rPr>
              <w:rStyle w:val="28"/>
              <w:rFonts w:hint="eastAsia"/>
              <w:color w:val="auto"/>
            </w:rPr>
            <w:t>期货及衍生品基础知识</w:t>
          </w:r>
          <w:r>
            <w:tab/>
          </w:r>
          <w:r>
            <w:fldChar w:fldCharType="begin"/>
          </w:r>
          <w:r>
            <w:instrText xml:space="preserve"> PAGEREF _Toc3896668 \h </w:instrText>
          </w:r>
          <w:r>
            <w:fldChar w:fldCharType="separate"/>
          </w:r>
          <w:r>
            <w:t>1</w:t>
          </w:r>
          <w:r>
            <w:fldChar w:fldCharType="end"/>
          </w:r>
          <w:r>
            <w:fldChar w:fldCharType="end"/>
          </w:r>
        </w:p>
        <w:p>
          <w:pPr>
            <w:pStyle w:val="19"/>
            <w:tabs>
              <w:tab w:val="right" w:leader="dot" w:pos="8296"/>
            </w:tabs>
            <w:ind w:left="480"/>
            <w:rPr>
              <w:rFonts w:asciiTheme="minorHAnsi" w:hAnsiTheme="minorHAnsi" w:eastAsiaTheme="minorEastAsia" w:cstheme="minorBidi"/>
              <w:sz w:val="21"/>
              <w:szCs w:val="22"/>
            </w:rPr>
          </w:pPr>
          <w:r>
            <w:fldChar w:fldCharType="begin"/>
          </w:r>
          <w:r>
            <w:instrText xml:space="preserve"> HYPERLINK \l "_Toc3896669" </w:instrText>
          </w:r>
          <w:r>
            <w:fldChar w:fldCharType="separate"/>
          </w:r>
          <w:r>
            <w:rPr>
              <w:rStyle w:val="28"/>
              <w:rFonts w:hint="eastAsia"/>
              <w:color w:val="auto"/>
            </w:rPr>
            <w:t>一、期货市场概述</w:t>
          </w:r>
          <w:r>
            <w:tab/>
          </w:r>
          <w:r>
            <w:fldChar w:fldCharType="begin"/>
          </w:r>
          <w:r>
            <w:instrText xml:space="preserve"> PAGEREF _Toc3896669 \h </w:instrText>
          </w:r>
          <w:r>
            <w:fldChar w:fldCharType="separate"/>
          </w:r>
          <w:r>
            <w:t>1</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"_Toc3896670" </w:instrText>
          </w:r>
          <w:r>
            <w:fldChar w:fldCharType="separate"/>
          </w:r>
          <w:r>
            <w:rPr>
              <w:rStyle w:val="28"/>
              <w:rFonts w:hint="eastAsia" w:ascii="仿宋" w:hAnsi="仿宋"/>
              <w:color w:val="auto"/>
            </w:rPr>
            <w:t>（一）期货交易的概念和特点</w:t>
          </w:r>
          <w:r>
            <w:tab/>
          </w:r>
          <w:r>
            <w:fldChar w:fldCharType="begin"/>
          </w:r>
          <w:r>
            <w:instrText xml:space="preserve"> PAGEREF _Toc3896670 \h </w:instrText>
          </w:r>
          <w:r>
            <w:fldChar w:fldCharType="separate"/>
          </w:r>
          <w:r>
            <w:t>1</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"_Toc3896671" </w:instrText>
          </w:r>
          <w:r>
            <w:fldChar w:fldCharType="separate"/>
          </w:r>
          <w:r>
            <w:rPr>
              <w:rStyle w:val="28"/>
              <w:rFonts w:hint="eastAsia" w:ascii="仿宋" w:hAnsi="仿宋"/>
              <w:color w:val="auto"/>
            </w:rPr>
            <w:t>（二）衍生品市场及其分类</w:t>
          </w:r>
          <w:r>
            <w:tab/>
          </w:r>
          <w:r>
            <w:fldChar w:fldCharType="begin"/>
          </w:r>
          <w:r>
            <w:instrText xml:space="preserve"> PAGEREF _Toc3896671 \h </w:instrText>
          </w:r>
          <w:r>
            <w:fldChar w:fldCharType="separate"/>
          </w:r>
          <w:r>
            <w:t>2</w:t>
          </w:r>
          <w:r>
            <w:fldChar w:fldCharType="end"/>
          </w:r>
          <w:r>
            <w:fldChar w:fldCharType="end"/>
          </w:r>
        </w:p>
        <w:p>
          <w:pPr>
            <w:pStyle w:val="19"/>
            <w:tabs>
              <w:tab w:val="right" w:leader="dot" w:pos="8296"/>
            </w:tabs>
            <w:ind w:left="480"/>
            <w:rPr>
              <w:rFonts w:asciiTheme="minorHAnsi" w:hAnsiTheme="minorHAnsi" w:eastAsiaTheme="minorEastAsia" w:cstheme="minorBidi"/>
              <w:sz w:val="21"/>
              <w:szCs w:val="22"/>
            </w:rPr>
          </w:pPr>
          <w:r>
            <w:fldChar w:fldCharType="begin"/>
          </w:r>
          <w:r>
            <w:instrText xml:space="preserve"> HYPERLINK \l "_Toc3896672" </w:instrText>
          </w:r>
          <w:r>
            <w:fldChar w:fldCharType="separate"/>
          </w:r>
          <w:r>
            <w:rPr>
              <w:rStyle w:val="28"/>
              <w:rFonts w:hint="eastAsia"/>
              <w:color w:val="auto"/>
            </w:rPr>
            <w:t>二、期货市场组织结构</w:t>
          </w:r>
          <w:r>
            <w:tab/>
          </w:r>
          <w:r>
            <w:fldChar w:fldCharType="begin"/>
          </w:r>
          <w:r>
            <w:instrText xml:space="preserve"> PAGEREF _Toc3896672 \h </w:instrText>
          </w:r>
          <w:r>
            <w:fldChar w:fldCharType="separate"/>
          </w:r>
          <w:r>
            <w:t>3</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"_Toc3896673" </w:instrText>
          </w:r>
          <w:r>
            <w:fldChar w:fldCharType="separate"/>
          </w:r>
          <w:r>
            <w:rPr>
              <w:rStyle w:val="28"/>
              <w:rFonts w:hint="eastAsia" w:ascii="仿宋" w:hAnsi="仿宋"/>
              <w:color w:val="auto"/>
            </w:rPr>
            <w:t>（一）期货交易所的含义及职能</w:t>
          </w:r>
          <w:r>
            <w:tab/>
          </w:r>
          <w:r>
            <w:fldChar w:fldCharType="begin"/>
          </w:r>
          <w:r>
            <w:instrText xml:space="preserve"> PAGEREF _Toc3896673 \h </w:instrText>
          </w:r>
          <w:r>
            <w:fldChar w:fldCharType="separate"/>
          </w:r>
          <w:r>
            <w:t>3</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"_Toc3896674" </w:instrText>
          </w:r>
          <w:r>
            <w:fldChar w:fldCharType="separate"/>
          </w:r>
          <w:r>
            <w:rPr>
              <w:rStyle w:val="28"/>
              <w:rFonts w:hint="eastAsia" w:ascii="仿宋" w:hAnsi="仿宋"/>
              <w:color w:val="auto"/>
            </w:rPr>
            <w:t>（二）结算机构的含义及职能</w:t>
          </w:r>
          <w:r>
            <w:tab/>
          </w:r>
          <w:r>
            <w:fldChar w:fldCharType="begin"/>
          </w:r>
          <w:r>
            <w:instrText xml:space="preserve"> PAGEREF _Toc3896674 \h </w:instrText>
          </w:r>
          <w:r>
            <w:fldChar w:fldCharType="separate"/>
          </w:r>
          <w:r>
            <w:t>3</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"_Toc3896675" </w:instrText>
          </w:r>
          <w:r>
            <w:fldChar w:fldCharType="separate"/>
          </w:r>
          <w:r>
            <w:rPr>
              <w:rStyle w:val="28"/>
              <w:rFonts w:hint="eastAsia" w:ascii="仿宋" w:hAnsi="仿宋"/>
              <w:color w:val="auto"/>
            </w:rPr>
            <w:t>（三）期货公司的含义及职能</w:t>
          </w:r>
          <w:r>
            <w:tab/>
          </w:r>
          <w:r>
            <w:fldChar w:fldCharType="begin"/>
          </w:r>
          <w:r>
            <w:instrText xml:space="preserve"> PAGEREF _Toc3896675 \h </w:instrText>
          </w:r>
          <w:r>
            <w:fldChar w:fldCharType="separate"/>
          </w:r>
          <w:r>
            <w:t>4</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"_Toc3896676" </w:instrText>
          </w:r>
          <w:r>
            <w:fldChar w:fldCharType="separate"/>
          </w:r>
          <w:r>
            <w:rPr>
              <w:rStyle w:val="28"/>
              <w:rFonts w:hint="eastAsia" w:ascii="仿宋" w:hAnsi="仿宋"/>
              <w:color w:val="auto"/>
            </w:rPr>
            <w:t>（四）其它</w:t>
          </w:r>
          <w:r>
            <w:rPr>
              <w:rStyle w:val="28"/>
              <w:rFonts w:hint="eastAsia" w:ascii="仿宋" w:hAnsi="仿宋" w:cs="仿宋"/>
              <w:color w:val="auto"/>
            </w:rPr>
            <w:t>中介与服务机构</w:t>
          </w:r>
          <w:r>
            <w:tab/>
          </w:r>
          <w:r>
            <w:fldChar w:fldCharType="begin"/>
          </w:r>
          <w:r>
            <w:instrText xml:space="preserve"> PAGEREF _Toc3896676 \h </w:instrText>
          </w:r>
          <w:r>
            <w:fldChar w:fldCharType="separate"/>
          </w:r>
          <w:r>
            <w:t>4</w:t>
          </w:r>
          <w:r>
            <w:fldChar w:fldCharType="end"/>
          </w:r>
          <w:r>
            <w:fldChar w:fldCharType="end"/>
          </w:r>
        </w:p>
        <w:p>
          <w:pPr>
            <w:pStyle w:val="19"/>
            <w:tabs>
              <w:tab w:val="right" w:leader="dot" w:pos="8296"/>
            </w:tabs>
            <w:ind w:left="480"/>
            <w:rPr>
              <w:rFonts w:asciiTheme="minorHAnsi" w:hAnsiTheme="minorHAnsi" w:eastAsiaTheme="minorEastAsia" w:cstheme="minorBidi"/>
              <w:sz w:val="21"/>
              <w:szCs w:val="22"/>
            </w:rPr>
          </w:pPr>
          <w:r>
            <w:fldChar w:fldCharType="begin"/>
          </w:r>
          <w:r>
            <w:instrText xml:space="preserve"> HYPERLINK \l "_Toc3896677" </w:instrText>
          </w:r>
          <w:r>
            <w:fldChar w:fldCharType="separate"/>
          </w:r>
          <w:r>
            <w:rPr>
              <w:rStyle w:val="28"/>
              <w:rFonts w:hint="eastAsia"/>
              <w:color w:val="auto"/>
            </w:rPr>
            <w:t>三、期货合约、交易制度和交易流程</w:t>
          </w:r>
          <w:r>
            <w:tab/>
          </w:r>
          <w:r>
            <w:fldChar w:fldCharType="begin"/>
          </w:r>
          <w:r>
            <w:instrText xml:space="preserve"> PAGEREF _Toc3896677 \h </w:instrText>
          </w:r>
          <w:r>
            <w:fldChar w:fldCharType="separate"/>
          </w:r>
          <w:r>
            <w:t>6</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"_Toc3896678" </w:instrText>
          </w:r>
          <w:r>
            <w:fldChar w:fldCharType="separate"/>
          </w:r>
          <w:r>
            <w:rPr>
              <w:rStyle w:val="28"/>
              <w:rFonts w:hint="eastAsia" w:ascii="仿宋" w:hAnsi="仿宋"/>
              <w:color w:val="auto"/>
            </w:rPr>
            <w:t>（一）期货合约</w:t>
          </w:r>
          <w:r>
            <w:tab/>
          </w:r>
          <w:r>
            <w:fldChar w:fldCharType="begin"/>
          </w:r>
          <w:r>
            <w:instrText xml:space="preserve"> PAGEREF _Toc3896678 \h </w:instrText>
          </w:r>
          <w:r>
            <w:fldChar w:fldCharType="separate"/>
          </w:r>
          <w:r>
            <w:t>6</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"_Toc3896679" </w:instrText>
          </w:r>
          <w:r>
            <w:fldChar w:fldCharType="separate"/>
          </w:r>
          <w:r>
            <w:rPr>
              <w:rStyle w:val="28"/>
              <w:rFonts w:hint="eastAsia" w:ascii="仿宋" w:hAnsi="仿宋"/>
              <w:color w:val="auto"/>
            </w:rPr>
            <w:t>（二）期货交易制度</w:t>
          </w:r>
          <w:r>
            <w:tab/>
          </w:r>
          <w:r>
            <w:fldChar w:fldCharType="begin"/>
          </w:r>
          <w:r>
            <w:instrText xml:space="preserve"> PAGEREF _Toc3896679 \h </w:instrText>
          </w:r>
          <w:r>
            <w:fldChar w:fldCharType="separate"/>
          </w:r>
          <w:r>
            <w:t>7</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"_Toc3896680" </w:instrText>
          </w:r>
          <w:r>
            <w:fldChar w:fldCharType="separate"/>
          </w:r>
          <w:r>
            <w:rPr>
              <w:rStyle w:val="28"/>
              <w:rFonts w:hint="eastAsia" w:ascii="仿宋" w:hAnsi="仿宋"/>
              <w:color w:val="auto"/>
            </w:rPr>
            <w:t>（三）期货交易流程</w:t>
          </w:r>
          <w:r>
            <w:tab/>
          </w:r>
          <w:r>
            <w:fldChar w:fldCharType="begin"/>
          </w:r>
          <w:r>
            <w:instrText xml:space="preserve"> PAGEREF _Toc3896680 \h </w:instrText>
          </w:r>
          <w:r>
            <w:fldChar w:fldCharType="separate"/>
          </w:r>
          <w:r>
            <w:t>8</w:t>
          </w:r>
          <w:r>
            <w:fldChar w:fldCharType="end"/>
          </w:r>
          <w:r>
            <w:fldChar w:fldCharType="end"/>
          </w:r>
        </w:p>
        <w:p>
          <w:pPr>
            <w:pStyle w:val="19"/>
            <w:tabs>
              <w:tab w:val="right" w:leader="dot" w:pos="8296"/>
            </w:tabs>
            <w:ind w:left="480"/>
            <w:rPr>
              <w:rFonts w:asciiTheme="minorHAnsi" w:hAnsiTheme="minorHAnsi" w:eastAsiaTheme="minorEastAsia" w:cstheme="minorBidi"/>
              <w:sz w:val="21"/>
              <w:szCs w:val="22"/>
            </w:rPr>
          </w:pPr>
          <w:r>
            <w:fldChar w:fldCharType="begin"/>
          </w:r>
          <w:r>
            <w:instrText xml:space="preserve"> HYPERLINK \l "_Toc3896681" </w:instrText>
          </w:r>
          <w:r>
            <w:fldChar w:fldCharType="separate"/>
          </w:r>
          <w:r>
            <w:rPr>
              <w:rStyle w:val="28"/>
              <w:rFonts w:hint="eastAsia"/>
              <w:color w:val="auto"/>
            </w:rPr>
            <w:t>四、套期保值</w:t>
          </w:r>
          <w:r>
            <w:tab/>
          </w:r>
          <w:r>
            <w:fldChar w:fldCharType="begin"/>
          </w:r>
          <w:r>
            <w:instrText xml:space="preserve"> PAGEREF _Toc3896681 \h </w:instrText>
          </w:r>
          <w:r>
            <w:fldChar w:fldCharType="separate"/>
          </w:r>
          <w:r>
            <w:t>12</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"_Toc3896682" </w:instrText>
          </w:r>
          <w:r>
            <w:fldChar w:fldCharType="separate"/>
          </w:r>
          <w:r>
            <w:rPr>
              <w:rStyle w:val="28"/>
              <w:rFonts w:hint="eastAsia" w:ascii="仿宋" w:hAnsi="仿宋"/>
              <w:color w:val="auto"/>
            </w:rPr>
            <w:t>（一）套期保值种类和应用</w:t>
          </w:r>
          <w:r>
            <w:tab/>
          </w:r>
          <w:r>
            <w:fldChar w:fldCharType="begin"/>
          </w:r>
          <w:r>
            <w:instrText xml:space="preserve"> PAGEREF _Toc3896682 \h </w:instrText>
          </w:r>
          <w:r>
            <w:fldChar w:fldCharType="separate"/>
          </w:r>
          <w:r>
            <w:t>12</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"_Toc3896683" </w:instrText>
          </w:r>
          <w:r>
            <w:fldChar w:fldCharType="separate"/>
          </w:r>
          <w:r>
            <w:rPr>
              <w:rStyle w:val="28"/>
              <w:rFonts w:hint="eastAsia" w:ascii="仿宋" w:hAnsi="仿宋"/>
              <w:color w:val="auto"/>
            </w:rPr>
            <w:t>（二）基差与套期保值</w:t>
          </w:r>
          <w:r>
            <w:tab/>
          </w:r>
          <w:r>
            <w:fldChar w:fldCharType="begin"/>
          </w:r>
          <w:r>
            <w:instrText xml:space="preserve"> PAGEREF _Toc3896683 \h </w:instrText>
          </w:r>
          <w:r>
            <w:fldChar w:fldCharType="separate"/>
          </w:r>
          <w:r>
            <w:t>14</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"_Toc3896684" </w:instrText>
          </w:r>
          <w:r>
            <w:fldChar w:fldCharType="separate"/>
          </w:r>
          <w:r>
            <w:rPr>
              <w:rStyle w:val="28"/>
              <w:rFonts w:hint="eastAsia" w:ascii="仿宋" w:hAnsi="仿宋"/>
              <w:color w:val="auto"/>
            </w:rPr>
            <w:t>（三）商品期货点价交易与基差交易</w:t>
          </w:r>
          <w:r>
            <w:tab/>
          </w:r>
          <w:r>
            <w:fldChar w:fldCharType="begin"/>
          </w:r>
          <w:r>
            <w:instrText xml:space="preserve"> PAGEREF _Toc3896684 \h </w:instrText>
          </w:r>
          <w:r>
            <w:fldChar w:fldCharType="separate"/>
          </w:r>
          <w:r>
            <w:t>16</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"_Toc3896685" </w:instrText>
          </w:r>
          <w:r>
            <w:fldChar w:fldCharType="separate"/>
          </w:r>
          <w:r>
            <w:rPr>
              <w:rStyle w:val="28"/>
              <w:rFonts w:hint="eastAsia" w:ascii="仿宋" w:hAnsi="仿宋"/>
              <w:color w:val="auto"/>
            </w:rPr>
            <w:t>（四）商品期货转现货交易</w:t>
          </w:r>
          <w:r>
            <w:tab/>
          </w:r>
          <w:r>
            <w:fldChar w:fldCharType="begin"/>
          </w:r>
          <w:r>
            <w:instrText xml:space="preserve"> PAGEREF _Toc3896685 \h </w:instrText>
          </w:r>
          <w:r>
            <w:fldChar w:fldCharType="separate"/>
          </w:r>
          <w:r>
            <w:t>17</w:t>
          </w:r>
          <w:r>
            <w:fldChar w:fldCharType="end"/>
          </w:r>
          <w:r>
            <w:fldChar w:fldCharType="end"/>
          </w:r>
        </w:p>
        <w:p>
          <w:pPr>
            <w:pStyle w:val="19"/>
            <w:tabs>
              <w:tab w:val="right" w:leader="dot" w:pos="8296"/>
            </w:tabs>
            <w:ind w:left="480"/>
            <w:rPr>
              <w:rFonts w:asciiTheme="minorHAnsi" w:hAnsiTheme="minorHAnsi" w:eastAsiaTheme="minorEastAsia" w:cstheme="minorBidi"/>
              <w:sz w:val="21"/>
              <w:szCs w:val="22"/>
            </w:rPr>
          </w:pPr>
          <w:r>
            <w:fldChar w:fldCharType="begin"/>
          </w:r>
          <w:r>
            <w:instrText xml:space="preserve"> HYPERLINK \l "_Toc3896686" </w:instrText>
          </w:r>
          <w:r>
            <w:fldChar w:fldCharType="separate"/>
          </w:r>
          <w:r>
            <w:rPr>
              <w:rStyle w:val="28"/>
              <w:rFonts w:hint="eastAsia"/>
              <w:color w:val="auto"/>
            </w:rPr>
            <w:t>五、期货投机与套利</w:t>
          </w:r>
          <w:r>
            <w:tab/>
          </w:r>
          <w:r>
            <w:fldChar w:fldCharType="begin"/>
          </w:r>
          <w:r>
            <w:instrText xml:space="preserve"> PAGEREF _Toc3896686 \h </w:instrText>
          </w:r>
          <w:r>
            <w:fldChar w:fldCharType="separate"/>
          </w:r>
          <w:r>
            <w:t>18</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"_Toc3896687" </w:instrText>
          </w:r>
          <w:r>
            <w:fldChar w:fldCharType="separate"/>
          </w:r>
          <w:r>
            <w:rPr>
              <w:rStyle w:val="28"/>
              <w:rFonts w:hint="eastAsia" w:ascii="仿宋" w:hAnsi="仿宋"/>
              <w:color w:val="auto"/>
            </w:rPr>
            <w:t>（一）期货套利与期货投机的比较</w:t>
          </w:r>
          <w:r>
            <w:tab/>
          </w:r>
          <w:r>
            <w:fldChar w:fldCharType="begin"/>
          </w:r>
          <w:r>
            <w:instrText xml:space="preserve"> PAGEREF _Toc3896687 \h </w:instrText>
          </w:r>
          <w:r>
            <w:fldChar w:fldCharType="separate"/>
          </w:r>
          <w:r>
            <w:t>18</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"_Toc3896688" </w:instrText>
          </w:r>
          <w:r>
            <w:fldChar w:fldCharType="separate"/>
          </w:r>
          <w:r>
            <w:rPr>
              <w:rStyle w:val="28"/>
              <w:rFonts w:hint="eastAsia" w:ascii="仿宋" w:hAnsi="仿宋"/>
              <w:color w:val="auto"/>
            </w:rPr>
            <w:t>（二）期货套利交易类型</w:t>
          </w:r>
          <w:r>
            <w:tab/>
          </w:r>
          <w:r>
            <w:fldChar w:fldCharType="begin"/>
          </w:r>
          <w:r>
            <w:instrText xml:space="preserve"> PAGEREF _Toc3896688 \h </w:instrText>
          </w:r>
          <w:r>
            <w:fldChar w:fldCharType="separate"/>
          </w:r>
          <w:r>
            <w:t>19</w:t>
          </w:r>
          <w:r>
            <w:fldChar w:fldCharType="end"/>
          </w:r>
          <w:r>
            <w:fldChar w:fldCharType="end"/>
          </w:r>
        </w:p>
        <w:p>
          <w:pPr>
            <w:pStyle w:val="19"/>
            <w:tabs>
              <w:tab w:val="right" w:leader="dot" w:pos="8296"/>
            </w:tabs>
            <w:ind w:left="480"/>
            <w:rPr>
              <w:rFonts w:asciiTheme="minorHAnsi" w:hAnsiTheme="minorHAnsi" w:eastAsiaTheme="minorEastAsia" w:cstheme="minorBidi"/>
              <w:sz w:val="21"/>
              <w:szCs w:val="22"/>
            </w:rPr>
          </w:pPr>
          <w:r>
            <w:fldChar w:fldCharType="begin"/>
          </w:r>
          <w:r>
            <w:instrText xml:space="preserve"> HYPERLINK \l "_Toc3896689" </w:instrText>
          </w:r>
          <w:r>
            <w:fldChar w:fldCharType="separate"/>
          </w:r>
          <w:r>
            <w:rPr>
              <w:rStyle w:val="28"/>
              <w:rFonts w:hint="eastAsia" w:cs="仿宋"/>
              <w:color w:val="auto"/>
            </w:rPr>
            <w:t>六、</w:t>
          </w:r>
          <w:r>
            <w:rPr>
              <w:rStyle w:val="28"/>
              <w:rFonts w:hint="eastAsia"/>
              <w:color w:val="auto"/>
            </w:rPr>
            <w:t>期货行情</w:t>
          </w:r>
          <w:r>
            <w:tab/>
          </w:r>
          <w:r>
            <w:fldChar w:fldCharType="begin"/>
          </w:r>
          <w:r>
            <w:instrText xml:space="preserve"> PAGEREF _Toc3896689 \h </w:instrText>
          </w:r>
          <w:r>
            <w:fldChar w:fldCharType="separate"/>
          </w:r>
          <w:r>
            <w:t>23</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"_Toc3896690" </w:instrText>
          </w:r>
          <w:r>
            <w:fldChar w:fldCharType="separate"/>
          </w:r>
          <w:r>
            <w:rPr>
              <w:rStyle w:val="28"/>
              <w:rFonts w:hint="eastAsia" w:ascii="仿宋" w:hAnsi="仿宋"/>
              <w:color w:val="auto"/>
            </w:rPr>
            <w:t>（一）基本面分析</w:t>
          </w:r>
          <w:r>
            <w:tab/>
          </w:r>
          <w:r>
            <w:fldChar w:fldCharType="begin"/>
          </w:r>
          <w:r>
            <w:instrText xml:space="preserve"> PAGEREF _Toc3896690 \h </w:instrText>
          </w:r>
          <w:r>
            <w:fldChar w:fldCharType="separate"/>
          </w:r>
          <w:r>
            <w:t>23</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"_Toc3896691" </w:instrText>
          </w:r>
          <w:r>
            <w:fldChar w:fldCharType="separate"/>
          </w:r>
          <w:r>
            <w:rPr>
              <w:rStyle w:val="28"/>
              <w:rFonts w:hint="eastAsia" w:ascii="仿宋" w:hAnsi="仿宋"/>
              <w:color w:val="auto"/>
              <w:kern w:val="0"/>
            </w:rPr>
            <w:t>（二）技术分析</w:t>
          </w:r>
          <w:r>
            <w:tab/>
          </w:r>
          <w:r>
            <w:fldChar w:fldCharType="begin"/>
          </w:r>
          <w:r>
            <w:instrText xml:space="preserve"> PAGEREF _Toc3896691 \h </w:instrText>
          </w:r>
          <w:r>
            <w:fldChar w:fldCharType="separate"/>
          </w:r>
          <w:r>
            <w:t>23</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"_Toc3896692" </w:instrText>
          </w:r>
          <w:r>
            <w:fldChar w:fldCharType="separate"/>
          </w:r>
          <w:r>
            <w:rPr>
              <w:rStyle w:val="28"/>
              <w:rFonts w:hint="eastAsia" w:ascii="仿宋" w:hAnsi="仿宋"/>
              <w:color w:val="auto"/>
            </w:rPr>
            <w:t>（三）量价分析</w:t>
          </w:r>
          <w:r>
            <w:tab/>
          </w:r>
          <w:r>
            <w:fldChar w:fldCharType="begin"/>
          </w:r>
          <w:r>
            <w:instrText xml:space="preserve"> PAGEREF _Toc3896692 \h </w:instrText>
          </w:r>
          <w:r>
            <w:fldChar w:fldCharType="separate"/>
          </w:r>
          <w:r>
            <w:t>23</w:t>
          </w:r>
          <w:r>
            <w:fldChar w:fldCharType="end"/>
          </w:r>
          <w:r>
            <w:fldChar w:fldCharType="end"/>
          </w:r>
        </w:p>
        <w:p>
          <w:pPr>
            <w:pStyle w:val="19"/>
            <w:tabs>
              <w:tab w:val="right" w:leader="dot" w:pos="8296"/>
            </w:tabs>
            <w:ind w:left="480"/>
            <w:rPr>
              <w:rFonts w:asciiTheme="minorHAnsi" w:hAnsiTheme="minorHAnsi" w:eastAsiaTheme="minorEastAsia" w:cstheme="minorBidi"/>
              <w:sz w:val="21"/>
              <w:szCs w:val="22"/>
            </w:rPr>
          </w:pPr>
          <w:r>
            <w:fldChar w:fldCharType="begin"/>
          </w:r>
          <w:r>
            <w:instrText xml:space="preserve"> HYPERLINK \l "_Toc3896693" </w:instrText>
          </w:r>
          <w:r>
            <w:fldChar w:fldCharType="separate"/>
          </w:r>
          <w:r>
            <w:rPr>
              <w:rStyle w:val="28"/>
              <w:rFonts w:hint="eastAsia"/>
              <w:color w:val="auto"/>
            </w:rPr>
            <w:t>七、外汇期货</w:t>
          </w:r>
          <w:r>
            <w:tab/>
          </w:r>
          <w:r>
            <w:fldChar w:fldCharType="begin"/>
          </w:r>
          <w:r>
            <w:instrText xml:space="preserve"> PAGEREF _Toc3896693 \h </w:instrText>
          </w:r>
          <w:r>
            <w:fldChar w:fldCharType="separate"/>
          </w:r>
          <w:r>
            <w:t>23</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"_Toc3896694" </w:instrText>
          </w:r>
          <w:r>
            <w:fldChar w:fldCharType="separate"/>
          </w:r>
          <w:r>
            <w:rPr>
              <w:rStyle w:val="28"/>
              <w:rFonts w:hint="eastAsia"/>
              <w:color w:val="auto"/>
            </w:rPr>
            <w:t>（一）外汇远期交易</w:t>
          </w:r>
          <w:r>
            <w:tab/>
          </w:r>
          <w:r>
            <w:fldChar w:fldCharType="begin"/>
          </w:r>
          <w:r>
            <w:instrText xml:space="preserve"> PAGEREF _Toc3896694 \h </w:instrText>
          </w:r>
          <w:r>
            <w:fldChar w:fldCharType="separate"/>
          </w:r>
          <w:r>
            <w:t>24</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"_Toc3896695" </w:instrText>
          </w:r>
          <w:r>
            <w:fldChar w:fldCharType="separate"/>
          </w:r>
          <w:r>
            <w:rPr>
              <w:rStyle w:val="28"/>
              <w:rFonts w:hint="eastAsia"/>
              <w:color w:val="auto"/>
            </w:rPr>
            <w:t>（二）外汇期货套期保值</w:t>
          </w:r>
          <w:r>
            <w:tab/>
          </w:r>
          <w:r>
            <w:fldChar w:fldCharType="begin"/>
          </w:r>
          <w:r>
            <w:instrText xml:space="preserve"> PAGEREF _Toc3896695 \h </w:instrText>
          </w:r>
          <w:r>
            <w:fldChar w:fldCharType="separate"/>
          </w:r>
          <w:r>
            <w:t>24</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"_Toc3896696" </w:instrText>
          </w:r>
          <w:r>
            <w:fldChar w:fldCharType="separate"/>
          </w:r>
          <w:r>
            <w:rPr>
              <w:rStyle w:val="28"/>
              <w:rFonts w:hint="eastAsia"/>
              <w:color w:val="auto"/>
            </w:rPr>
            <w:t>（三）外汇期货套利</w:t>
          </w:r>
          <w:r>
            <w:tab/>
          </w:r>
          <w:r>
            <w:fldChar w:fldCharType="begin"/>
          </w:r>
          <w:r>
            <w:instrText xml:space="preserve"> PAGEREF _Toc3896696 \h </w:instrText>
          </w:r>
          <w:r>
            <w:fldChar w:fldCharType="separate"/>
          </w:r>
          <w:r>
            <w:t>25</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"_Toc3896697" </w:instrText>
          </w:r>
          <w:r>
            <w:fldChar w:fldCharType="separate"/>
          </w:r>
          <w:r>
            <w:rPr>
              <w:rStyle w:val="28"/>
              <w:rFonts w:hint="eastAsia"/>
              <w:color w:val="auto"/>
            </w:rPr>
            <w:t>（四）外汇的掉期与互换</w:t>
          </w:r>
          <w:r>
            <w:tab/>
          </w:r>
          <w:r>
            <w:fldChar w:fldCharType="begin"/>
          </w:r>
          <w:r>
            <w:instrText xml:space="preserve"> PAGEREF _Toc3896697 \h </w:instrText>
          </w:r>
          <w:r>
            <w:fldChar w:fldCharType="separate"/>
          </w:r>
          <w:r>
            <w:t>26</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"_Toc3896698" </w:instrText>
          </w:r>
          <w:r>
            <w:fldChar w:fldCharType="separate"/>
          </w:r>
          <w:r>
            <w:rPr>
              <w:rStyle w:val="28"/>
              <w:rFonts w:hint="eastAsia"/>
              <w:color w:val="auto"/>
            </w:rPr>
            <w:t>（五）外汇期权</w:t>
          </w:r>
          <w:r>
            <w:tab/>
          </w:r>
          <w:r>
            <w:fldChar w:fldCharType="begin"/>
          </w:r>
          <w:r>
            <w:instrText xml:space="preserve"> PAGEREF _Toc3896698 \h </w:instrText>
          </w:r>
          <w:r>
            <w:fldChar w:fldCharType="separate"/>
          </w:r>
          <w:r>
            <w:t>26</w:t>
          </w:r>
          <w:r>
            <w:fldChar w:fldCharType="end"/>
          </w:r>
          <w:r>
            <w:fldChar w:fldCharType="end"/>
          </w:r>
        </w:p>
        <w:p>
          <w:pPr>
            <w:pStyle w:val="19"/>
            <w:tabs>
              <w:tab w:val="right" w:leader="dot" w:pos="8296"/>
            </w:tabs>
            <w:ind w:left="480"/>
            <w:rPr>
              <w:rFonts w:asciiTheme="minorHAnsi" w:hAnsiTheme="minorHAnsi" w:eastAsiaTheme="minorEastAsia" w:cstheme="minorBidi"/>
              <w:sz w:val="21"/>
              <w:szCs w:val="22"/>
            </w:rPr>
          </w:pPr>
          <w:r>
            <w:fldChar w:fldCharType="begin"/>
          </w:r>
          <w:r>
            <w:instrText xml:space="preserve"> HYPERLINK \l "_Toc3896699" </w:instrText>
          </w:r>
          <w:r>
            <w:fldChar w:fldCharType="separate"/>
          </w:r>
          <w:r>
            <w:rPr>
              <w:rStyle w:val="28"/>
              <w:rFonts w:hint="eastAsia"/>
              <w:color w:val="auto"/>
            </w:rPr>
            <w:t>八、利率期货</w:t>
          </w:r>
          <w:r>
            <w:tab/>
          </w:r>
          <w:r>
            <w:fldChar w:fldCharType="begin"/>
          </w:r>
          <w:r>
            <w:instrText xml:space="preserve"> PAGEREF _Toc3896699 \h </w:instrText>
          </w:r>
          <w:r>
            <w:fldChar w:fldCharType="separate"/>
          </w:r>
          <w:r>
            <w:t>27</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"_Toc3896700" </w:instrText>
          </w:r>
          <w:r>
            <w:fldChar w:fldCharType="separate"/>
          </w:r>
          <w:r>
            <w:rPr>
              <w:rStyle w:val="28"/>
              <w:rFonts w:hint="eastAsia" w:ascii="仿宋" w:hAnsi="仿宋"/>
              <w:color w:val="auto"/>
            </w:rPr>
            <w:t>（一）利率期货的影响因素</w:t>
          </w:r>
          <w:r>
            <w:tab/>
          </w:r>
          <w:r>
            <w:fldChar w:fldCharType="begin"/>
          </w:r>
          <w:r>
            <w:instrText xml:space="preserve"> PAGEREF _Toc3896700 \h </w:instrText>
          </w:r>
          <w:r>
            <w:fldChar w:fldCharType="separate"/>
          </w:r>
          <w:r>
            <w:t>27</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"_Toc3896701" </w:instrText>
          </w:r>
          <w:r>
            <w:fldChar w:fldCharType="separate"/>
          </w:r>
          <w:r>
            <w:rPr>
              <w:rStyle w:val="28"/>
              <w:rFonts w:hint="eastAsia" w:ascii="仿宋" w:hAnsi="仿宋"/>
              <w:color w:val="auto"/>
            </w:rPr>
            <w:t>（二）</w:t>
          </w:r>
          <w:r>
            <w:rPr>
              <w:rStyle w:val="28"/>
              <w:rFonts w:hint="eastAsia"/>
              <w:color w:val="auto"/>
            </w:rPr>
            <w:t>国债期货及其应用</w:t>
          </w:r>
          <w:r>
            <w:tab/>
          </w:r>
          <w:r>
            <w:fldChar w:fldCharType="begin"/>
          </w:r>
          <w:r>
            <w:instrText xml:space="preserve"> PAGEREF _Toc3896701 \h </w:instrText>
          </w:r>
          <w:r>
            <w:fldChar w:fldCharType="separate"/>
          </w:r>
          <w:r>
            <w:t>27</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"_Toc3896702" </w:instrText>
          </w:r>
          <w:r>
            <w:fldChar w:fldCharType="separate"/>
          </w:r>
          <w:r>
            <w:rPr>
              <w:rStyle w:val="28"/>
              <w:rFonts w:hint="eastAsia" w:ascii="仿宋" w:hAnsi="仿宋"/>
              <w:color w:val="auto"/>
            </w:rPr>
            <w:t>（三）</w:t>
          </w:r>
          <w:r>
            <w:rPr>
              <w:rStyle w:val="28"/>
              <w:rFonts w:ascii="仿宋" w:hAnsi="仿宋"/>
              <w:color w:val="auto"/>
            </w:rPr>
            <w:t>5</w:t>
          </w:r>
          <w:r>
            <w:rPr>
              <w:rStyle w:val="28"/>
              <w:rFonts w:hint="eastAsia" w:ascii="仿宋" w:hAnsi="仿宋"/>
              <w:color w:val="auto"/>
            </w:rPr>
            <w:t>年期国债期货合约的主要条款</w:t>
          </w:r>
          <w:r>
            <w:tab/>
          </w:r>
          <w:r>
            <w:fldChar w:fldCharType="begin"/>
          </w:r>
          <w:r>
            <w:instrText xml:space="preserve"> PAGEREF _Toc3896702 \h </w:instrText>
          </w:r>
          <w:r>
            <w:fldChar w:fldCharType="separate"/>
          </w:r>
          <w:r>
            <w:t>28</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"_Toc3896703" </w:instrText>
          </w:r>
          <w:r>
            <w:fldChar w:fldCharType="separate"/>
          </w:r>
          <w:r>
            <w:rPr>
              <w:rStyle w:val="28"/>
              <w:rFonts w:hint="eastAsia" w:ascii="仿宋" w:hAnsi="仿宋"/>
              <w:color w:val="auto"/>
            </w:rPr>
            <w:t>（四）</w:t>
          </w:r>
          <w:r>
            <w:rPr>
              <w:rStyle w:val="28"/>
              <w:rFonts w:ascii="仿宋" w:hAnsi="仿宋"/>
              <w:color w:val="auto"/>
            </w:rPr>
            <w:t>10</w:t>
          </w:r>
          <w:r>
            <w:rPr>
              <w:rStyle w:val="28"/>
              <w:rFonts w:hint="eastAsia" w:ascii="仿宋" w:hAnsi="仿宋"/>
              <w:color w:val="auto"/>
            </w:rPr>
            <w:t>年期国债期货合约的主要条款</w:t>
          </w:r>
          <w:r>
            <w:tab/>
          </w:r>
          <w:r>
            <w:fldChar w:fldCharType="begin"/>
          </w:r>
          <w:r>
            <w:instrText xml:space="preserve"> PAGEREF _Toc3896703 \h </w:instrText>
          </w:r>
          <w:r>
            <w:fldChar w:fldCharType="separate"/>
          </w:r>
          <w:r>
            <w:t>29</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"_Toc3896704" </w:instrText>
          </w:r>
          <w:r>
            <w:fldChar w:fldCharType="separate"/>
          </w:r>
          <w:r>
            <w:rPr>
              <w:rStyle w:val="28"/>
              <w:rFonts w:hint="eastAsia" w:ascii="仿宋" w:hAnsi="仿宋"/>
              <w:color w:val="auto"/>
            </w:rPr>
            <w:t>（五）</w:t>
          </w:r>
          <w:r>
            <w:rPr>
              <w:rStyle w:val="28"/>
              <w:rFonts w:ascii="仿宋" w:hAnsi="仿宋"/>
              <w:color w:val="auto"/>
            </w:rPr>
            <w:t>2</w:t>
          </w:r>
          <w:r>
            <w:rPr>
              <w:rStyle w:val="28"/>
              <w:rFonts w:hint="eastAsia" w:ascii="仿宋" w:hAnsi="仿宋"/>
              <w:color w:val="auto"/>
            </w:rPr>
            <w:t>年期国债期货合约的主要条款</w:t>
          </w:r>
          <w:r>
            <w:tab/>
          </w:r>
          <w:r>
            <w:fldChar w:fldCharType="begin"/>
          </w:r>
          <w:r>
            <w:instrText xml:space="preserve"> PAGEREF _Toc3896704 \h </w:instrText>
          </w:r>
          <w:r>
            <w:fldChar w:fldCharType="separate"/>
          </w:r>
          <w:r>
            <w:t>29</w:t>
          </w:r>
          <w:r>
            <w:fldChar w:fldCharType="end"/>
          </w:r>
          <w:r>
            <w:fldChar w:fldCharType="end"/>
          </w:r>
        </w:p>
        <w:p>
          <w:pPr>
            <w:pStyle w:val="19"/>
            <w:tabs>
              <w:tab w:val="right" w:leader="dot" w:pos="8296"/>
            </w:tabs>
            <w:ind w:left="480"/>
            <w:rPr>
              <w:rFonts w:asciiTheme="minorHAnsi" w:hAnsiTheme="minorHAnsi" w:eastAsiaTheme="minorEastAsia" w:cstheme="minorBidi"/>
              <w:sz w:val="21"/>
              <w:szCs w:val="22"/>
            </w:rPr>
          </w:pPr>
          <w:r>
            <w:fldChar w:fldCharType="begin"/>
          </w:r>
          <w:r>
            <w:instrText xml:space="preserve"> HYPERLINK \l "_Toc3896705" </w:instrText>
          </w:r>
          <w:r>
            <w:fldChar w:fldCharType="separate"/>
          </w:r>
          <w:r>
            <w:rPr>
              <w:rStyle w:val="28"/>
              <w:rFonts w:hint="eastAsia"/>
              <w:color w:val="auto"/>
            </w:rPr>
            <w:t>九、股指期货</w:t>
          </w:r>
          <w:r>
            <w:tab/>
          </w:r>
          <w:r>
            <w:fldChar w:fldCharType="begin"/>
          </w:r>
          <w:r>
            <w:instrText xml:space="preserve"> PAGEREF _Toc3896705 \h </w:instrText>
          </w:r>
          <w:r>
            <w:fldChar w:fldCharType="separate"/>
          </w:r>
          <w:r>
            <w:t>29</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"_Toc3896706" </w:instrText>
          </w:r>
          <w:r>
            <w:fldChar w:fldCharType="separate"/>
          </w:r>
          <w:r>
            <w:rPr>
              <w:rStyle w:val="28"/>
              <w:rFonts w:hint="eastAsia" w:ascii="仿宋" w:hAnsi="仿宋"/>
              <w:color w:val="auto"/>
            </w:rPr>
            <w:t>（一）股指期货基础</w:t>
          </w:r>
          <w:r>
            <w:tab/>
          </w:r>
          <w:r>
            <w:fldChar w:fldCharType="begin"/>
          </w:r>
          <w:r>
            <w:instrText xml:space="preserve"> PAGEREF _Toc3896706 \h </w:instrText>
          </w:r>
          <w:r>
            <w:fldChar w:fldCharType="separate"/>
          </w:r>
          <w:r>
            <w:t>29</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"_Toc3896707" </w:instrText>
          </w:r>
          <w:r>
            <w:fldChar w:fldCharType="separate"/>
          </w:r>
          <w:r>
            <w:rPr>
              <w:rStyle w:val="28"/>
              <w:rFonts w:hint="eastAsia" w:ascii="仿宋" w:hAnsi="仿宋"/>
              <w:color w:val="auto"/>
            </w:rPr>
            <w:t>（二）股指期货</w:t>
          </w:r>
          <w:r>
            <w:rPr>
              <w:rStyle w:val="28"/>
              <w:rFonts w:hint="eastAsia"/>
              <w:color w:val="auto"/>
            </w:rPr>
            <w:t>套期保值</w:t>
          </w:r>
          <w:r>
            <w:tab/>
          </w:r>
          <w:r>
            <w:fldChar w:fldCharType="begin"/>
          </w:r>
          <w:r>
            <w:instrText xml:space="preserve"> PAGEREF _Toc3896707 \h </w:instrText>
          </w:r>
          <w:r>
            <w:fldChar w:fldCharType="separate"/>
          </w:r>
          <w:r>
            <w:t>30</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"_Toc3896708" </w:instrText>
          </w:r>
          <w:r>
            <w:fldChar w:fldCharType="separate"/>
          </w:r>
          <w:r>
            <w:rPr>
              <w:rStyle w:val="28"/>
              <w:rFonts w:hint="eastAsia" w:ascii="仿宋" w:hAnsi="仿宋"/>
              <w:color w:val="auto"/>
            </w:rPr>
            <w:t>（三）股指期货投机与套利交易策略</w:t>
          </w:r>
          <w:r>
            <w:tab/>
          </w:r>
          <w:r>
            <w:fldChar w:fldCharType="begin"/>
          </w:r>
          <w:r>
            <w:instrText xml:space="preserve"> PAGEREF _Toc3896708 \h </w:instrText>
          </w:r>
          <w:r>
            <w:fldChar w:fldCharType="separate"/>
          </w:r>
          <w:r>
            <w:t>30</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"_Toc3896709" </w:instrText>
          </w:r>
          <w:r>
            <w:fldChar w:fldCharType="separate"/>
          </w:r>
          <w:r>
            <w:rPr>
              <w:rStyle w:val="28"/>
              <w:rFonts w:hint="eastAsia" w:ascii="仿宋" w:hAnsi="仿宋"/>
              <w:color w:val="auto"/>
            </w:rPr>
            <w:t>（四）沪深</w:t>
          </w:r>
          <w:r>
            <w:rPr>
              <w:rStyle w:val="28"/>
              <w:rFonts w:ascii="仿宋" w:hAnsi="仿宋"/>
              <w:color w:val="auto"/>
            </w:rPr>
            <w:t>300</w:t>
          </w:r>
          <w:r>
            <w:rPr>
              <w:rStyle w:val="28"/>
              <w:rFonts w:hint="eastAsia" w:ascii="仿宋" w:hAnsi="仿宋"/>
              <w:color w:val="auto"/>
            </w:rPr>
            <w:t>股指期货合约主要条款</w:t>
          </w:r>
          <w:r>
            <w:tab/>
          </w:r>
          <w:r>
            <w:fldChar w:fldCharType="begin"/>
          </w:r>
          <w:r>
            <w:instrText xml:space="preserve"> PAGEREF _Toc3896709 \h </w:instrText>
          </w:r>
          <w:r>
            <w:fldChar w:fldCharType="separate"/>
          </w:r>
          <w:r>
            <w:t>31</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"_Toc3896710" </w:instrText>
          </w:r>
          <w:r>
            <w:fldChar w:fldCharType="separate"/>
          </w:r>
          <w:r>
            <w:rPr>
              <w:rStyle w:val="28"/>
              <w:rFonts w:hint="eastAsia" w:ascii="仿宋" w:hAnsi="仿宋"/>
              <w:color w:val="auto"/>
            </w:rPr>
            <w:t>（五）中证</w:t>
          </w:r>
          <w:r>
            <w:rPr>
              <w:rStyle w:val="28"/>
              <w:rFonts w:ascii="仿宋" w:hAnsi="仿宋"/>
              <w:color w:val="auto"/>
            </w:rPr>
            <w:t>500</w:t>
          </w:r>
          <w:r>
            <w:rPr>
              <w:rStyle w:val="28"/>
              <w:rFonts w:hint="eastAsia" w:ascii="仿宋" w:hAnsi="仿宋"/>
              <w:color w:val="auto"/>
            </w:rPr>
            <w:t>股指期货合约主要条款</w:t>
          </w:r>
          <w:r>
            <w:tab/>
          </w:r>
          <w:r>
            <w:fldChar w:fldCharType="begin"/>
          </w:r>
          <w:r>
            <w:instrText xml:space="preserve"> PAGEREF _Toc3896710 \h </w:instrText>
          </w:r>
          <w:r>
            <w:fldChar w:fldCharType="separate"/>
          </w:r>
          <w:r>
            <w:t>31</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"_Toc3896711" </w:instrText>
          </w:r>
          <w:r>
            <w:fldChar w:fldCharType="separate"/>
          </w:r>
          <w:r>
            <w:rPr>
              <w:rStyle w:val="28"/>
              <w:rFonts w:hint="eastAsia" w:ascii="仿宋" w:hAnsi="仿宋"/>
              <w:color w:val="auto"/>
            </w:rPr>
            <w:t>（六）上证</w:t>
          </w:r>
          <w:r>
            <w:rPr>
              <w:rStyle w:val="28"/>
              <w:rFonts w:ascii="仿宋" w:hAnsi="仿宋"/>
              <w:color w:val="auto"/>
            </w:rPr>
            <w:t>50</w:t>
          </w:r>
          <w:r>
            <w:rPr>
              <w:rStyle w:val="28"/>
              <w:rFonts w:hint="eastAsia" w:ascii="仿宋" w:hAnsi="仿宋"/>
              <w:color w:val="auto"/>
            </w:rPr>
            <w:t>股指期货合约主要条款</w:t>
          </w:r>
          <w:r>
            <w:tab/>
          </w:r>
          <w:r>
            <w:fldChar w:fldCharType="begin"/>
          </w:r>
          <w:r>
            <w:instrText xml:space="preserve"> PAGEREF _Toc3896711 \h </w:instrText>
          </w:r>
          <w:r>
            <w:fldChar w:fldCharType="separate"/>
          </w:r>
          <w:r>
            <w:t>31</w:t>
          </w:r>
          <w:r>
            <w:fldChar w:fldCharType="end"/>
          </w:r>
          <w:r>
            <w:fldChar w:fldCharType="end"/>
          </w:r>
        </w:p>
        <w:p>
          <w:pPr>
            <w:pStyle w:val="19"/>
            <w:tabs>
              <w:tab w:val="right" w:leader="dot" w:pos="8296"/>
            </w:tabs>
            <w:ind w:left="480"/>
            <w:rPr>
              <w:rFonts w:asciiTheme="minorHAnsi" w:hAnsiTheme="minorHAnsi" w:eastAsiaTheme="minorEastAsia" w:cstheme="minorBidi"/>
              <w:sz w:val="21"/>
              <w:szCs w:val="22"/>
            </w:rPr>
          </w:pPr>
          <w:r>
            <w:fldChar w:fldCharType="begin"/>
          </w:r>
          <w:r>
            <w:instrText xml:space="preserve"> HYPERLINK \l "_Toc3896712" </w:instrText>
          </w:r>
          <w:r>
            <w:fldChar w:fldCharType="separate"/>
          </w:r>
          <w:r>
            <w:rPr>
              <w:rStyle w:val="28"/>
              <w:rFonts w:hint="eastAsia"/>
              <w:color w:val="auto"/>
            </w:rPr>
            <w:t>十、期权</w:t>
          </w:r>
          <w:r>
            <w:tab/>
          </w:r>
          <w:r>
            <w:fldChar w:fldCharType="begin"/>
          </w:r>
          <w:r>
            <w:instrText xml:space="preserve"> PAGEREF _Toc3896712 \h </w:instrText>
          </w:r>
          <w:r>
            <w:fldChar w:fldCharType="separate"/>
          </w:r>
          <w:r>
            <w:t>32</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"_Toc3896713" </w:instrText>
          </w:r>
          <w:r>
            <w:fldChar w:fldCharType="separate"/>
          </w:r>
          <w:r>
            <w:rPr>
              <w:rStyle w:val="28"/>
              <w:rFonts w:hint="eastAsia" w:ascii="仿宋" w:hAnsi="仿宋"/>
              <w:color w:val="auto"/>
            </w:rPr>
            <w:t>（一）期权概念与特点</w:t>
          </w:r>
          <w:r>
            <w:tab/>
          </w:r>
          <w:r>
            <w:fldChar w:fldCharType="begin"/>
          </w:r>
          <w:r>
            <w:instrText xml:space="preserve"> PAGEREF _Toc3896713 \h </w:instrText>
          </w:r>
          <w:r>
            <w:fldChar w:fldCharType="separate"/>
          </w:r>
          <w:r>
            <w:t>32</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"_Toc3896714" </w:instrText>
          </w:r>
          <w:r>
            <w:fldChar w:fldCharType="separate"/>
          </w:r>
          <w:r>
            <w:rPr>
              <w:rStyle w:val="28"/>
              <w:rFonts w:hint="eastAsia" w:ascii="仿宋" w:hAnsi="仿宋"/>
              <w:color w:val="auto"/>
            </w:rPr>
            <w:t>（二）期权的主要类型</w:t>
          </w:r>
          <w:r>
            <w:tab/>
          </w:r>
          <w:r>
            <w:fldChar w:fldCharType="begin"/>
          </w:r>
          <w:r>
            <w:instrText xml:space="preserve"> PAGEREF _Toc3896714 \h </w:instrText>
          </w:r>
          <w:r>
            <w:fldChar w:fldCharType="separate"/>
          </w:r>
          <w:r>
            <w:t>33</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"_Toc3896715" </w:instrText>
          </w:r>
          <w:r>
            <w:fldChar w:fldCharType="separate"/>
          </w:r>
          <w:r>
            <w:rPr>
              <w:rStyle w:val="28"/>
              <w:rFonts w:hint="eastAsia" w:ascii="仿宋" w:hAnsi="仿宋"/>
              <w:color w:val="auto"/>
            </w:rPr>
            <w:t>（三）期权价格构成及其影响因素</w:t>
          </w:r>
          <w:r>
            <w:tab/>
          </w:r>
          <w:r>
            <w:fldChar w:fldCharType="begin"/>
          </w:r>
          <w:r>
            <w:instrText xml:space="preserve"> PAGEREF _Toc3896715 \h </w:instrText>
          </w:r>
          <w:r>
            <w:fldChar w:fldCharType="separate"/>
          </w:r>
          <w:r>
            <w:t>34</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"_Toc3896716" </w:instrText>
          </w:r>
          <w:r>
            <w:fldChar w:fldCharType="separate"/>
          </w:r>
          <w:r>
            <w:rPr>
              <w:rStyle w:val="28"/>
              <w:rFonts w:hint="eastAsia" w:ascii="仿宋" w:hAnsi="仿宋"/>
              <w:color w:val="auto"/>
            </w:rPr>
            <w:t>（四）期权交易的基本策略</w:t>
          </w:r>
          <w:r>
            <w:tab/>
          </w:r>
          <w:r>
            <w:fldChar w:fldCharType="begin"/>
          </w:r>
          <w:r>
            <w:instrText xml:space="preserve"> PAGEREF _Toc3896716 \h </w:instrText>
          </w:r>
          <w:r>
            <w:fldChar w:fldCharType="separate"/>
          </w:r>
          <w:r>
            <w:t>35</w:t>
          </w:r>
          <w:r>
            <w:fldChar w:fldCharType="end"/>
          </w:r>
          <w:r>
            <w:fldChar w:fldCharType="end"/>
          </w:r>
        </w:p>
        <w:p>
          <w:pPr>
            <w:pStyle w:val="19"/>
            <w:tabs>
              <w:tab w:val="right" w:leader="dot" w:pos="8296"/>
            </w:tabs>
            <w:ind w:left="480"/>
            <w:rPr>
              <w:rFonts w:asciiTheme="minorHAnsi" w:hAnsiTheme="minorHAnsi" w:eastAsiaTheme="minorEastAsia" w:cstheme="minorBidi"/>
              <w:sz w:val="21"/>
              <w:szCs w:val="22"/>
            </w:rPr>
          </w:pPr>
          <w:r>
            <w:fldChar w:fldCharType="begin"/>
          </w:r>
          <w:r>
            <w:instrText xml:space="preserve"> HYPERLINK \l "_Toc3896717" </w:instrText>
          </w:r>
          <w:r>
            <w:fldChar w:fldCharType="separate"/>
          </w:r>
          <w:r>
            <w:rPr>
              <w:rStyle w:val="28"/>
              <w:rFonts w:hint="eastAsia"/>
              <w:color w:val="auto"/>
            </w:rPr>
            <w:t>十一、期货市场监管和风险控制</w:t>
          </w:r>
          <w:r>
            <w:tab/>
          </w:r>
          <w:r>
            <w:fldChar w:fldCharType="begin"/>
          </w:r>
          <w:r>
            <w:instrText xml:space="preserve"> PAGEREF _Toc3896717 \h </w:instrText>
          </w:r>
          <w:r>
            <w:fldChar w:fldCharType="separate"/>
          </w:r>
          <w:r>
            <w:t>38</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"_Toc3896718" </w:instrText>
          </w:r>
          <w:r>
            <w:fldChar w:fldCharType="separate"/>
          </w:r>
          <w:r>
            <w:rPr>
              <w:rStyle w:val="28"/>
              <w:rFonts w:hint="eastAsia" w:ascii="仿宋" w:hAnsi="仿宋"/>
              <w:color w:val="auto"/>
            </w:rPr>
            <w:t>（一）期货市场风险的类型和风险成因</w:t>
          </w:r>
          <w:r>
            <w:tab/>
          </w:r>
          <w:r>
            <w:fldChar w:fldCharType="begin"/>
          </w:r>
          <w:r>
            <w:instrText xml:space="preserve"> PAGEREF _Toc3896718 \h </w:instrText>
          </w:r>
          <w:r>
            <w:fldChar w:fldCharType="separate"/>
          </w:r>
          <w:r>
            <w:t>38</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"_Toc3896719" </w:instrText>
          </w:r>
          <w:r>
            <w:fldChar w:fldCharType="separate"/>
          </w:r>
          <w:r>
            <w:rPr>
              <w:rStyle w:val="28"/>
              <w:rFonts w:hint="eastAsia" w:ascii="仿宋" w:hAnsi="仿宋"/>
              <w:color w:val="auto"/>
            </w:rPr>
            <w:t>（二）期货市场风险度量和风险管理</w:t>
          </w:r>
          <w:r>
            <w:tab/>
          </w:r>
          <w:r>
            <w:fldChar w:fldCharType="begin"/>
          </w:r>
          <w:r>
            <w:instrText xml:space="preserve"> PAGEREF _Toc3896719 \h </w:instrText>
          </w:r>
          <w:r>
            <w:fldChar w:fldCharType="separate"/>
          </w:r>
          <w:r>
            <w:t>39</w:t>
          </w:r>
          <w:r>
            <w:fldChar w:fldCharType="end"/>
          </w:r>
          <w:r>
            <w:fldChar w:fldCharType="end"/>
          </w:r>
        </w:p>
        <w:p>
          <w:pPr>
            <w:pStyle w:val="15"/>
            <w:tabs>
              <w:tab w:val="right" w:leader="dot" w:pos="8296"/>
            </w:tabs>
            <w:rPr>
              <w:rFonts w:asciiTheme="minorHAnsi" w:hAnsiTheme="minorHAnsi" w:eastAsiaTheme="minorEastAsia" w:cstheme="minorBidi"/>
              <w:sz w:val="21"/>
              <w:szCs w:val="22"/>
            </w:rPr>
          </w:pPr>
          <w:r>
            <w:fldChar w:fldCharType="begin"/>
          </w:r>
          <w:r>
            <w:instrText xml:space="preserve"> HYPERLINK \l "_Toc3896720" </w:instrText>
          </w:r>
          <w:r>
            <w:fldChar w:fldCharType="separate"/>
          </w:r>
          <w:r>
            <w:rPr>
              <w:rStyle w:val="28"/>
              <w:rFonts w:hint="eastAsia"/>
              <w:color w:val="auto"/>
            </w:rPr>
            <w:t>第二部分</w:t>
          </w:r>
          <w:r>
            <w:rPr>
              <w:rStyle w:val="28"/>
              <w:color w:val="auto"/>
            </w:rPr>
            <w:t xml:space="preserve">  </w:t>
          </w:r>
          <w:r>
            <w:rPr>
              <w:rStyle w:val="28"/>
              <w:rFonts w:hint="eastAsia"/>
              <w:color w:val="auto"/>
            </w:rPr>
            <w:t>法律法规</w:t>
          </w:r>
          <w:r>
            <w:tab/>
          </w:r>
          <w:r>
            <w:fldChar w:fldCharType="begin"/>
          </w:r>
          <w:r>
            <w:instrText xml:space="preserve"> PAGEREF _Toc3896720 \h </w:instrText>
          </w:r>
          <w:r>
            <w:fldChar w:fldCharType="separate"/>
          </w:r>
          <w:r>
            <w:t>42</w:t>
          </w:r>
          <w:r>
            <w:fldChar w:fldCharType="end"/>
          </w:r>
          <w:r>
            <w:fldChar w:fldCharType="end"/>
          </w:r>
        </w:p>
        <w:p>
          <w:pPr>
            <w:pStyle w:val="19"/>
            <w:tabs>
              <w:tab w:val="right" w:leader="dot" w:pos="8296"/>
            </w:tabs>
            <w:ind w:left="480"/>
            <w:rPr>
              <w:rFonts w:asciiTheme="minorHAnsi" w:hAnsiTheme="minorHAnsi" w:eastAsiaTheme="minorEastAsia" w:cstheme="minorBidi"/>
              <w:sz w:val="21"/>
              <w:szCs w:val="22"/>
            </w:rPr>
          </w:pPr>
          <w:r>
            <w:fldChar w:fldCharType="begin"/>
          </w:r>
          <w:r>
            <w:instrText xml:space="preserve"> HYPERLINK \l "_Toc3896721" </w:instrText>
          </w:r>
          <w:r>
            <w:fldChar w:fldCharType="separate"/>
          </w:r>
          <w:r>
            <w:rPr>
              <w:rStyle w:val="28"/>
              <w:rFonts w:hint="eastAsia"/>
              <w:color w:val="auto"/>
            </w:rPr>
            <w:t>一、行政法规</w:t>
          </w:r>
          <w:r>
            <w:tab/>
          </w:r>
          <w:r>
            <w:fldChar w:fldCharType="begin"/>
          </w:r>
          <w:r>
            <w:instrText xml:space="preserve"> PAGEREF _Toc3896721 \h </w:instrText>
          </w:r>
          <w:r>
            <w:fldChar w:fldCharType="separate"/>
          </w:r>
          <w:r>
            <w:t>42</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"_Toc3896722" </w:instrText>
          </w:r>
          <w:r>
            <w:fldChar w:fldCharType="separate"/>
          </w:r>
          <w:r>
            <w:rPr>
              <w:rStyle w:val="28"/>
              <w:rFonts w:hint="eastAsia" w:ascii="仿宋" w:hAnsi="仿宋"/>
              <w:color w:val="auto"/>
            </w:rPr>
            <w:t>（一）《期货交易管理条例》</w:t>
          </w:r>
          <w:r>
            <w:tab/>
          </w:r>
          <w:r>
            <w:fldChar w:fldCharType="begin"/>
          </w:r>
          <w:r>
            <w:instrText xml:space="preserve"> PAGEREF _Toc3896722 \h </w:instrText>
          </w:r>
          <w:r>
            <w:fldChar w:fldCharType="separate"/>
          </w:r>
          <w:r>
            <w:t>42</w:t>
          </w:r>
          <w:r>
            <w:fldChar w:fldCharType="end"/>
          </w:r>
          <w:r>
            <w:fldChar w:fldCharType="end"/>
          </w:r>
        </w:p>
        <w:p>
          <w:pPr>
            <w:pStyle w:val="19"/>
            <w:tabs>
              <w:tab w:val="right" w:leader="dot" w:pos="8296"/>
            </w:tabs>
            <w:ind w:left="480"/>
            <w:rPr>
              <w:rFonts w:asciiTheme="minorHAnsi" w:hAnsiTheme="minorHAnsi" w:eastAsiaTheme="minorEastAsia" w:cstheme="minorBidi"/>
              <w:sz w:val="21"/>
              <w:szCs w:val="22"/>
            </w:rPr>
          </w:pPr>
          <w:r>
            <w:fldChar w:fldCharType="begin"/>
          </w:r>
          <w:r>
            <w:instrText xml:space="preserve"> HYPERLINK \l "_Toc3896723" </w:instrText>
          </w:r>
          <w:r>
            <w:fldChar w:fldCharType="separate"/>
          </w:r>
          <w:r>
            <w:rPr>
              <w:rStyle w:val="28"/>
              <w:rFonts w:hint="eastAsia"/>
              <w:color w:val="auto"/>
            </w:rPr>
            <w:t>二、部门规章与规范性文件</w:t>
          </w:r>
          <w:r>
            <w:tab/>
          </w:r>
          <w:r>
            <w:fldChar w:fldCharType="begin"/>
          </w:r>
          <w:r>
            <w:instrText xml:space="preserve"> PAGEREF _Toc3896723 \h </w:instrText>
          </w:r>
          <w:r>
            <w:fldChar w:fldCharType="separate"/>
          </w:r>
          <w:r>
            <w:t>54</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"_Toc3896724" </w:instrText>
          </w:r>
          <w:r>
            <w:fldChar w:fldCharType="separate"/>
          </w:r>
          <w:r>
            <w:rPr>
              <w:rStyle w:val="28"/>
              <w:rFonts w:hint="eastAsia" w:ascii="仿宋" w:hAnsi="仿宋"/>
              <w:color w:val="auto"/>
            </w:rPr>
            <w:t>（一）《期货交易所管理办法》</w:t>
          </w:r>
          <w:r>
            <w:tab/>
          </w:r>
          <w:r>
            <w:fldChar w:fldCharType="begin"/>
          </w:r>
          <w:r>
            <w:instrText xml:space="preserve"> PAGEREF _Toc3896724 \h </w:instrText>
          </w:r>
          <w:r>
            <w:fldChar w:fldCharType="separate"/>
          </w:r>
          <w:r>
            <w:t>54</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"_Toc3896725" </w:instrText>
          </w:r>
          <w:r>
            <w:fldChar w:fldCharType="separate"/>
          </w:r>
          <w:r>
            <w:rPr>
              <w:rStyle w:val="28"/>
              <w:rFonts w:hint="eastAsia" w:ascii="仿宋" w:hAnsi="仿宋"/>
              <w:color w:val="auto"/>
            </w:rPr>
            <w:t>（二）《期货公司监督管理办法》</w:t>
          </w:r>
          <w:r>
            <w:tab/>
          </w:r>
          <w:r>
            <w:fldChar w:fldCharType="begin"/>
          </w:r>
          <w:r>
            <w:instrText xml:space="preserve"> PAGEREF _Toc3896725 \h </w:instrText>
          </w:r>
          <w:r>
            <w:fldChar w:fldCharType="separate"/>
          </w:r>
          <w:r>
            <w:t>56</w:t>
          </w:r>
          <w:r>
            <w:fldChar w:fldCharType="end"/>
          </w:r>
          <w:r>
            <w:fldChar w:fldCharType="end"/>
          </w:r>
        </w:p>
        <w:p>
          <w:pPr>
            <w:pStyle w:val="10"/>
            <w:tabs>
              <w:tab w:val="left" w:pos="1680"/>
              <w:tab w:val="right" w:leader="dot" w:pos="8296"/>
            </w:tabs>
            <w:ind w:left="960"/>
            <w:rPr>
              <w:rFonts w:asciiTheme="minorHAnsi" w:hAnsiTheme="minorHAnsi" w:eastAsiaTheme="minorEastAsia" w:cstheme="minorBidi"/>
              <w:sz w:val="21"/>
              <w:szCs w:val="22"/>
            </w:rPr>
          </w:pPr>
          <w:r>
            <w:fldChar w:fldCharType="begin"/>
          </w:r>
          <w:r>
            <w:instrText xml:space="preserve"> HYPERLINK \l "_Toc3896726" </w:instrText>
          </w:r>
          <w:r>
            <w:fldChar w:fldCharType="separate"/>
          </w:r>
          <w:r>
            <w:rPr>
              <w:rStyle w:val="28"/>
              <w:rFonts w:hint="eastAsia" w:ascii="仿宋" w:hAnsi="仿宋"/>
              <w:color w:val="auto"/>
            </w:rPr>
            <w:t>（三）《外商投资期货公司管理办法》</w:t>
          </w:r>
          <w:r>
            <w:tab/>
          </w:r>
          <w:r>
            <w:fldChar w:fldCharType="begin"/>
          </w:r>
          <w:r>
            <w:instrText xml:space="preserve"> PAGEREF _Toc3896726 \h </w:instrText>
          </w:r>
          <w:r>
            <w:fldChar w:fldCharType="separate"/>
          </w:r>
          <w:r>
            <w:t>63</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"_Toc3896727" </w:instrText>
          </w:r>
          <w:r>
            <w:fldChar w:fldCharType="separate"/>
          </w:r>
          <w:r>
            <w:rPr>
              <w:rStyle w:val="28"/>
              <w:rFonts w:hint="eastAsia" w:ascii="仿宋" w:hAnsi="仿宋"/>
              <w:color w:val="auto"/>
            </w:rPr>
            <w:t>（四）《证券期货经营机构及其工作人员廉洁从业规定》</w:t>
          </w:r>
          <w:r>
            <w:tab/>
          </w:r>
          <w:r>
            <w:fldChar w:fldCharType="begin"/>
          </w:r>
          <w:r>
            <w:instrText xml:space="preserve"> PAGEREF _Toc3896727 \h </w:instrText>
          </w:r>
          <w:r>
            <w:fldChar w:fldCharType="separate"/>
          </w:r>
          <w:r>
            <w:t>68</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"_Toc3896728" </w:instrText>
          </w:r>
          <w:r>
            <w:fldChar w:fldCharType="separate"/>
          </w:r>
          <w:r>
            <w:rPr>
              <w:rStyle w:val="28"/>
              <w:rFonts w:hint="eastAsia" w:ascii="仿宋" w:hAnsi="仿宋"/>
              <w:color w:val="auto"/>
            </w:rPr>
            <w:t>（五）《期货公司首席风险官管理规定（试行）》</w:t>
          </w:r>
          <w:r>
            <w:tab/>
          </w:r>
          <w:r>
            <w:fldChar w:fldCharType="begin"/>
          </w:r>
          <w:r>
            <w:instrText xml:space="preserve"> PAGEREF _Toc3896728 \h </w:instrText>
          </w:r>
          <w:r>
            <w:fldChar w:fldCharType="separate"/>
          </w:r>
          <w:r>
            <w:t>73</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"_Toc3896729" </w:instrText>
          </w:r>
          <w:r>
            <w:fldChar w:fldCharType="separate"/>
          </w:r>
          <w:r>
            <w:rPr>
              <w:rStyle w:val="28"/>
              <w:rFonts w:hint="eastAsia" w:ascii="仿宋" w:hAnsi="仿宋"/>
              <w:color w:val="auto"/>
            </w:rPr>
            <w:t>（六）《期货公司金融期货结算业务试行办法》</w:t>
          </w:r>
          <w:r>
            <w:tab/>
          </w:r>
          <w:r>
            <w:fldChar w:fldCharType="begin"/>
          </w:r>
          <w:r>
            <w:instrText xml:space="preserve"> PAGEREF _Toc3896729 \h </w:instrText>
          </w:r>
          <w:r>
            <w:fldChar w:fldCharType="separate"/>
          </w:r>
          <w:r>
            <w:t>77</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"_Toc3896730" </w:instrText>
          </w:r>
          <w:r>
            <w:fldChar w:fldCharType="separate"/>
          </w:r>
          <w:r>
            <w:rPr>
              <w:rStyle w:val="28"/>
              <w:rFonts w:hint="eastAsia" w:ascii="仿宋" w:hAnsi="仿宋"/>
              <w:color w:val="auto"/>
            </w:rPr>
            <w:t>（七）《期货公司风险监管指标管理办法》</w:t>
          </w:r>
          <w:r>
            <w:tab/>
          </w:r>
          <w:r>
            <w:fldChar w:fldCharType="begin"/>
          </w:r>
          <w:r>
            <w:instrText xml:space="preserve"> PAGEREF _Toc3896730 \h </w:instrText>
          </w:r>
          <w:r>
            <w:fldChar w:fldCharType="separate"/>
          </w:r>
          <w:r>
            <w:t>80</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"_Toc3896731" </w:instrText>
          </w:r>
          <w:r>
            <w:fldChar w:fldCharType="separate"/>
          </w:r>
          <w:r>
            <w:rPr>
              <w:rStyle w:val="28"/>
              <w:rFonts w:hint="eastAsia" w:ascii="仿宋" w:hAnsi="仿宋"/>
              <w:color w:val="auto"/>
            </w:rPr>
            <w:t>（八）《期货公司期货投资咨询业务试行办法》</w:t>
          </w:r>
          <w:r>
            <w:tab/>
          </w:r>
          <w:r>
            <w:fldChar w:fldCharType="begin"/>
          </w:r>
          <w:r>
            <w:instrText xml:space="preserve"> PAGEREF _Toc3896731 \h </w:instrText>
          </w:r>
          <w:r>
            <w:fldChar w:fldCharType="separate"/>
          </w:r>
          <w:r>
            <w:t>83</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"_Toc3896732" </w:instrText>
          </w:r>
          <w:r>
            <w:fldChar w:fldCharType="separate"/>
          </w:r>
          <w:r>
            <w:rPr>
              <w:rStyle w:val="28"/>
              <w:rFonts w:hint="eastAsia" w:ascii="仿宋" w:hAnsi="仿宋"/>
              <w:color w:val="auto"/>
            </w:rPr>
            <w:t>（九）《期货公司董事、监事、高级管理人员任职资格管理办法》</w:t>
          </w:r>
          <w:r>
            <w:tab/>
          </w:r>
          <w:r>
            <w:fldChar w:fldCharType="begin"/>
          </w:r>
          <w:r>
            <w:instrText xml:space="preserve"> PAGEREF _Toc3896732 \h </w:instrText>
          </w:r>
          <w:r>
            <w:fldChar w:fldCharType="separate"/>
          </w:r>
          <w:r>
            <w:t>85</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"_Toc3896733" </w:instrText>
          </w:r>
          <w:r>
            <w:fldChar w:fldCharType="separate"/>
          </w:r>
          <w:r>
            <w:rPr>
              <w:rStyle w:val="28"/>
              <w:rFonts w:hint="eastAsia" w:ascii="仿宋" w:hAnsi="仿宋"/>
              <w:color w:val="auto"/>
            </w:rPr>
            <w:t>（十）《证券期货投资者适当性管理办法》</w:t>
          </w:r>
          <w:r>
            <w:tab/>
          </w:r>
          <w:r>
            <w:fldChar w:fldCharType="begin"/>
          </w:r>
          <w:r>
            <w:instrText xml:space="preserve"> PAGEREF _Toc3896733 \h </w:instrText>
          </w:r>
          <w:r>
            <w:fldChar w:fldCharType="separate"/>
          </w:r>
          <w:r>
            <w:t>86</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"_Toc3896734" </w:instrText>
          </w:r>
          <w:r>
            <w:fldChar w:fldCharType="separate"/>
          </w:r>
          <w:r>
            <w:rPr>
              <w:rStyle w:val="28"/>
              <w:rFonts w:hint="eastAsia" w:ascii="仿宋" w:hAnsi="仿宋"/>
              <w:color w:val="auto"/>
            </w:rPr>
            <w:t>（十一）《证券公司为期货公司提供中间介绍业务试行办法》</w:t>
          </w:r>
          <w:r>
            <w:tab/>
          </w:r>
          <w:r>
            <w:fldChar w:fldCharType="begin"/>
          </w:r>
          <w:r>
            <w:instrText xml:space="preserve"> PAGEREF _Toc3896734 \h </w:instrText>
          </w:r>
          <w:r>
            <w:fldChar w:fldCharType="separate"/>
          </w:r>
          <w:r>
            <w:t>89</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"_Toc3896735" </w:instrText>
          </w:r>
          <w:r>
            <w:fldChar w:fldCharType="separate"/>
          </w:r>
          <w:r>
            <w:rPr>
              <w:rStyle w:val="28"/>
              <w:rFonts w:hint="eastAsia" w:ascii="仿宋" w:hAnsi="仿宋"/>
              <w:color w:val="auto"/>
            </w:rPr>
            <w:t>（十二）《期货投资者保障基金管理办法》</w:t>
          </w:r>
          <w:r>
            <w:tab/>
          </w:r>
          <w:r>
            <w:fldChar w:fldCharType="begin"/>
          </w:r>
          <w:r>
            <w:instrText xml:space="preserve"> PAGEREF _Toc3896735 \h </w:instrText>
          </w:r>
          <w:r>
            <w:fldChar w:fldCharType="separate"/>
          </w:r>
          <w:r>
            <w:t>90</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"_Toc3896736" </w:instrText>
          </w:r>
          <w:r>
            <w:fldChar w:fldCharType="separate"/>
          </w:r>
          <w:r>
            <w:rPr>
              <w:rStyle w:val="28"/>
              <w:rFonts w:hint="eastAsia" w:ascii="仿宋" w:hAnsi="仿宋"/>
              <w:color w:val="auto"/>
            </w:rPr>
            <w:t>（十三）《期货市场客户开户管理规定》</w:t>
          </w:r>
          <w:r>
            <w:tab/>
          </w:r>
          <w:r>
            <w:fldChar w:fldCharType="begin"/>
          </w:r>
          <w:r>
            <w:instrText xml:space="preserve"> PAGEREF _Toc3896736 \h </w:instrText>
          </w:r>
          <w:r>
            <w:fldChar w:fldCharType="separate"/>
          </w:r>
          <w:r>
            <w:t>91</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"_Toc3896737" </w:instrText>
          </w:r>
          <w:r>
            <w:fldChar w:fldCharType="separate"/>
          </w:r>
          <w:r>
            <w:rPr>
              <w:rStyle w:val="28"/>
              <w:rFonts w:hint="eastAsia" w:ascii="仿宋" w:hAnsi="仿宋"/>
              <w:color w:val="auto"/>
            </w:rPr>
            <w:t>（十四）《私募投资基金监督管理办法》</w:t>
          </w:r>
          <w:r>
            <w:tab/>
          </w:r>
          <w:r>
            <w:fldChar w:fldCharType="begin"/>
          </w:r>
          <w:r>
            <w:instrText xml:space="preserve"> PAGEREF _Toc3896737 \h </w:instrText>
          </w:r>
          <w:r>
            <w:fldChar w:fldCharType="separate"/>
          </w:r>
          <w:r>
            <w:t>92</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"_Toc3896738" </w:instrText>
          </w:r>
          <w:r>
            <w:fldChar w:fldCharType="separate"/>
          </w:r>
          <w:r>
            <w:rPr>
              <w:rStyle w:val="28"/>
              <w:rFonts w:hint="eastAsia" w:ascii="仿宋" w:hAnsi="仿宋"/>
              <w:color w:val="auto"/>
            </w:rPr>
            <w:t>（十五）《境外交易者和境外经纪机构从事境内特定品种期货交易管理暂行办法》</w:t>
          </w:r>
          <w:r>
            <w:tab/>
          </w:r>
          <w:r>
            <w:fldChar w:fldCharType="begin"/>
          </w:r>
          <w:r>
            <w:instrText xml:space="preserve"> PAGEREF _Toc3896738 \h </w:instrText>
          </w:r>
          <w:r>
            <w:fldChar w:fldCharType="separate"/>
          </w:r>
          <w:r>
            <w:t>96</w:t>
          </w:r>
          <w:r>
            <w:fldChar w:fldCharType="end"/>
          </w:r>
          <w:r>
            <w:fldChar w:fldCharType="end"/>
          </w:r>
        </w:p>
        <w:p>
          <w:pPr>
            <w:pStyle w:val="19"/>
            <w:tabs>
              <w:tab w:val="right" w:leader="dot" w:pos="8296"/>
            </w:tabs>
            <w:ind w:left="480"/>
            <w:rPr>
              <w:rFonts w:asciiTheme="minorHAnsi" w:hAnsiTheme="minorHAnsi" w:eastAsiaTheme="minorEastAsia" w:cstheme="minorBidi"/>
              <w:sz w:val="21"/>
              <w:szCs w:val="22"/>
            </w:rPr>
          </w:pPr>
          <w:r>
            <w:fldChar w:fldCharType="begin"/>
          </w:r>
          <w:r>
            <w:instrText xml:space="preserve"> HYPERLINK \l "_Toc3896739" </w:instrText>
          </w:r>
          <w:r>
            <w:fldChar w:fldCharType="separate"/>
          </w:r>
          <w:r>
            <w:rPr>
              <w:rStyle w:val="28"/>
              <w:rFonts w:hint="eastAsia"/>
              <w:color w:val="auto"/>
            </w:rPr>
            <w:t>三、协会自律规则</w:t>
          </w:r>
          <w:r>
            <w:tab/>
          </w:r>
          <w:r>
            <w:fldChar w:fldCharType="begin"/>
          </w:r>
          <w:r>
            <w:instrText xml:space="preserve"> PAGEREF _Toc3896739 \h </w:instrText>
          </w:r>
          <w:r>
            <w:fldChar w:fldCharType="separate"/>
          </w:r>
          <w:r>
            <w:t>100</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"_Toc3896740" </w:instrText>
          </w:r>
          <w:r>
            <w:fldChar w:fldCharType="separate"/>
          </w:r>
          <w:r>
            <w:rPr>
              <w:rStyle w:val="28"/>
              <w:rFonts w:hint="eastAsia" w:ascii="仿宋" w:hAnsi="仿宋"/>
              <w:color w:val="auto"/>
            </w:rPr>
            <w:t>（一）《</w:t>
          </w:r>
          <w:r>
            <w:rPr>
              <w:rStyle w:val="28"/>
              <w:rFonts w:hint="eastAsia" w:ascii="仿宋" w:hAnsi="仿宋"/>
              <w:color w:val="auto"/>
              <w:kern w:val="0"/>
            </w:rPr>
            <w:t>期货经营机构投资者适当性管理实施指引（试行）</w:t>
          </w:r>
          <w:r>
            <w:rPr>
              <w:rStyle w:val="28"/>
              <w:rFonts w:hint="eastAsia" w:ascii="仿宋" w:hAnsi="仿宋"/>
              <w:color w:val="auto"/>
            </w:rPr>
            <w:t>》</w:t>
          </w:r>
          <w:r>
            <w:tab/>
          </w:r>
          <w:r>
            <w:fldChar w:fldCharType="begin"/>
          </w:r>
          <w:r>
            <w:instrText xml:space="preserve"> PAGEREF _Toc3896740 \h </w:instrText>
          </w:r>
          <w:r>
            <w:fldChar w:fldCharType="separate"/>
          </w:r>
          <w:r>
            <w:t>100</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"_Toc3896741" </w:instrText>
          </w:r>
          <w:r>
            <w:fldChar w:fldCharType="separate"/>
          </w:r>
          <w:r>
            <w:rPr>
              <w:rStyle w:val="28"/>
              <w:rFonts w:hint="eastAsia" w:ascii="仿宋" w:hAnsi="仿宋"/>
              <w:color w:val="auto"/>
            </w:rPr>
            <w:t>（二）《期货经纪合同》指引</w:t>
          </w:r>
          <w:r>
            <w:tab/>
          </w:r>
          <w:r>
            <w:fldChar w:fldCharType="begin"/>
          </w:r>
          <w:r>
            <w:instrText xml:space="preserve"> PAGEREF _Toc3896741 \h </w:instrText>
          </w:r>
          <w:r>
            <w:fldChar w:fldCharType="separate"/>
          </w:r>
          <w:r>
            <w:t>102</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"_Toc3896742" </w:instrText>
          </w:r>
          <w:r>
            <w:fldChar w:fldCharType="separate"/>
          </w:r>
          <w:r>
            <w:rPr>
              <w:rStyle w:val="28"/>
              <w:rFonts w:hint="eastAsia" w:ascii="仿宋" w:hAnsi="仿宋"/>
              <w:color w:val="auto"/>
              <w:kern w:val="0"/>
            </w:rPr>
            <w:t>（三）《期货公司次级债管理规则》</w:t>
          </w:r>
          <w:r>
            <w:tab/>
          </w:r>
          <w:r>
            <w:fldChar w:fldCharType="begin"/>
          </w:r>
          <w:r>
            <w:instrText xml:space="preserve"> PAGEREF _Toc3896742 \h </w:instrText>
          </w:r>
          <w:r>
            <w:fldChar w:fldCharType="separate"/>
          </w:r>
          <w:r>
            <w:t>104</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"_Toc3896743" </w:instrText>
          </w:r>
          <w:r>
            <w:fldChar w:fldCharType="separate"/>
          </w:r>
          <w:r>
            <w:rPr>
              <w:rStyle w:val="28"/>
              <w:rFonts w:hint="eastAsia" w:ascii="仿宋" w:hAnsi="仿宋"/>
              <w:color w:val="auto"/>
            </w:rPr>
            <w:t>（四）《期货公司压力测试指引（试行）》</w:t>
          </w:r>
          <w:r>
            <w:tab/>
          </w:r>
          <w:r>
            <w:fldChar w:fldCharType="begin"/>
          </w:r>
          <w:r>
            <w:instrText xml:space="preserve"> PAGEREF _Toc3896743 \h </w:instrText>
          </w:r>
          <w:r>
            <w:fldChar w:fldCharType="separate"/>
          </w:r>
          <w:r>
            <w:t>105</w:t>
          </w:r>
          <w:r>
            <w:fldChar w:fldCharType="end"/>
          </w:r>
          <w:r>
            <w:fldChar w:fldCharType="end"/>
          </w:r>
        </w:p>
        <w:p>
          <w:pPr>
            <w:pStyle w:val="19"/>
            <w:tabs>
              <w:tab w:val="right" w:leader="dot" w:pos="8296"/>
            </w:tabs>
            <w:ind w:left="480"/>
            <w:rPr>
              <w:rFonts w:asciiTheme="minorHAnsi" w:hAnsiTheme="minorHAnsi" w:eastAsiaTheme="minorEastAsia" w:cstheme="minorBidi"/>
              <w:sz w:val="21"/>
              <w:szCs w:val="22"/>
            </w:rPr>
          </w:pPr>
          <w:r>
            <w:fldChar w:fldCharType="begin"/>
          </w:r>
          <w:r>
            <w:instrText xml:space="preserve"> HYPERLINK \l "_Toc3896744" </w:instrText>
          </w:r>
          <w:r>
            <w:fldChar w:fldCharType="separate"/>
          </w:r>
          <w:r>
            <w:rPr>
              <w:rStyle w:val="28"/>
              <w:rFonts w:hint="eastAsia"/>
              <w:color w:val="auto"/>
            </w:rPr>
            <w:t>四、其他</w:t>
          </w:r>
          <w:r>
            <w:tab/>
          </w:r>
          <w:r>
            <w:fldChar w:fldCharType="begin"/>
          </w:r>
          <w:r>
            <w:instrText xml:space="preserve"> PAGEREF _Toc3896744 \h </w:instrText>
          </w:r>
          <w:r>
            <w:fldChar w:fldCharType="separate"/>
          </w:r>
          <w:r>
            <w:t>106</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"_Toc3896745" </w:instrText>
          </w:r>
          <w:r>
            <w:fldChar w:fldCharType="separate"/>
          </w:r>
          <w:r>
            <w:rPr>
              <w:rStyle w:val="28"/>
              <w:rFonts w:hint="eastAsia" w:ascii="仿宋" w:hAnsi="仿宋"/>
              <w:color w:val="auto"/>
            </w:rPr>
            <w:t>（一）《刑法》修正案</w:t>
          </w:r>
          <w:r>
            <w:tab/>
          </w:r>
          <w:r>
            <w:fldChar w:fldCharType="begin"/>
          </w:r>
          <w:r>
            <w:instrText xml:space="preserve"> PAGEREF _Toc3896745 \h </w:instrText>
          </w:r>
          <w:r>
            <w:fldChar w:fldCharType="separate"/>
          </w:r>
          <w:r>
            <w:t>106</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"_Toc3896746" </w:instrText>
          </w:r>
          <w:r>
            <w:fldChar w:fldCharType="separate"/>
          </w:r>
          <w:r>
            <w:rPr>
              <w:rStyle w:val="28"/>
              <w:rFonts w:hint="eastAsia" w:ascii="仿宋" w:hAnsi="仿宋"/>
              <w:color w:val="auto"/>
            </w:rPr>
            <w:t>（二）《最高人民法院关于审理期货纠纷案件若干问题的规定》</w:t>
          </w:r>
          <w:r>
            <w:tab/>
          </w:r>
          <w:r>
            <w:fldChar w:fldCharType="begin"/>
          </w:r>
          <w:r>
            <w:instrText xml:space="preserve"> PAGEREF _Toc3896746 \h </w:instrText>
          </w:r>
          <w:r>
            <w:fldChar w:fldCharType="separate"/>
          </w:r>
          <w:r>
            <w:t>108</w:t>
          </w:r>
          <w:r>
            <w:fldChar w:fldCharType="end"/>
          </w:r>
          <w:r>
            <w:fldChar w:fldCharType="end"/>
          </w:r>
        </w:p>
        <w:p>
          <w:pPr>
            <w:pStyle w:val="15"/>
            <w:tabs>
              <w:tab w:val="right" w:leader="dot" w:pos="8296"/>
            </w:tabs>
            <w:rPr>
              <w:rFonts w:asciiTheme="minorHAnsi" w:hAnsiTheme="minorHAnsi" w:eastAsiaTheme="minorEastAsia" w:cstheme="minorBidi"/>
              <w:sz w:val="21"/>
              <w:szCs w:val="22"/>
            </w:rPr>
          </w:pPr>
          <w:r>
            <w:fldChar w:fldCharType="begin"/>
          </w:r>
          <w:r>
            <w:instrText xml:space="preserve"> HYPERLINK \l "_Toc3896747" </w:instrText>
          </w:r>
          <w:r>
            <w:fldChar w:fldCharType="separate"/>
          </w:r>
          <w:r>
            <w:rPr>
              <w:rStyle w:val="28"/>
              <w:rFonts w:hint="eastAsia"/>
              <w:color w:val="auto"/>
            </w:rPr>
            <w:t>第三部分</w:t>
          </w:r>
          <w:r>
            <w:rPr>
              <w:rStyle w:val="28"/>
              <w:color w:val="auto"/>
            </w:rPr>
            <w:t xml:space="preserve">  </w:t>
          </w:r>
          <w:r>
            <w:rPr>
              <w:rStyle w:val="28"/>
              <w:rFonts w:hint="eastAsia"/>
              <w:color w:val="auto"/>
            </w:rPr>
            <w:t>关于期货公司合规经营的相关规定</w:t>
          </w:r>
          <w:r>
            <w:tab/>
          </w:r>
          <w:r>
            <w:fldChar w:fldCharType="begin"/>
          </w:r>
          <w:r>
            <w:instrText xml:space="preserve"> PAGEREF _Toc3896747 \h </w:instrText>
          </w:r>
          <w:r>
            <w:fldChar w:fldCharType="separate"/>
          </w:r>
          <w:r>
            <w:t>110</w:t>
          </w:r>
          <w:r>
            <w:fldChar w:fldCharType="end"/>
          </w:r>
          <w:r>
            <w:fldChar w:fldCharType="end"/>
          </w:r>
        </w:p>
        <w:p>
          <w:pPr>
            <w:pStyle w:val="19"/>
            <w:tabs>
              <w:tab w:val="right" w:leader="dot" w:pos="8296"/>
            </w:tabs>
            <w:ind w:left="480"/>
            <w:rPr>
              <w:rFonts w:asciiTheme="minorHAnsi" w:hAnsiTheme="minorHAnsi" w:eastAsiaTheme="minorEastAsia" w:cstheme="minorBidi"/>
              <w:sz w:val="21"/>
              <w:szCs w:val="22"/>
            </w:rPr>
          </w:pPr>
          <w:r>
            <w:fldChar w:fldCharType="begin"/>
          </w:r>
          <w:r>
            <w:instrText xml:space="preserve"> HYPERLINK \l "_Toc3896748" </w:instrText>
          </w:r>
          <w:r>
            <w:fldChar w:fldCharType="separate"/>
          </w:r>
          <w:r>
            <w:rPr>
              <w:rStyle w:val="28"/>
              <w:rFonts w:hint="eastAsia"/>
              <w:color w:val="auto"/>
            </w:rPr>
            <w:t>一、关于首席风险官日常履责的内容与定期报告</w:t>
          </w:r>
          <w:r>
            <w:tab/>
          </w:r>
          <w:r>
            <w:fldChar w:fldCharType="begin"/>
          </w:r>
          <w:r>
            <w:instrText xml:space="preserve"> PAGEREF _Toc3896748 \h </w:instrText>
          </w:r>
          <w:r>
            <w:fldChar w:fldCharType="separate"/>
          </w:r>
          <w:r>
            <w:t>110</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"_Toc3896749" </w:instrText>
          </w:r>
          <w:r>
            <w:fldChar w:fldCharType="separate"/>
          </w:r>
          <w:r>
            <w:rPr>
              <w:rStyle w:val="28"/>
              <w:rFonts w:hint="eastAsia" w:ascii="仿宋" w:hAnsi="仿宋"/>
              <w:color w:val="auto"/>
              <w:kern w:val="0"/>
            </w:rPr>
            <w:t>（一）</w:t>
          </w:r>
          <w:r>
            <w:rPr>
              <w:rStyle w:val="28"/>
              <w:rFonts w:hint="eastAsia"/>
              <w:color w:val="auto"/>
            </w:rPr>
            <w:t>首席风险官工作职责中重点检查的内容有哪些</w:t>
          </w:r>
          <w:r>
            <w:tab/>
          </w:r>
          <w:r>
            <w:fldChar w:fldCharType="begin"/>
          </w:r>
          <w:r>
            <w:instrText xml:space="preserve"> PAGEREF _Toc3896749 \h </w:instrText>
          </w:r>
          <w:r>
            <w:fldChar w:fldCharType="separate"/>
          </w:r>
          <w:r>
            <w:t>110</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"_Toc3896750" </w:instrText>
          </w:r>
          <w:r>
            <w:fldChar w:fldCharType="separate"/>
          </w:r>
          <w:r>
            <w:rPr>
              <w:rStyle w:val="28"/>
              <w:rFonts w:hint="eastAsia" w:ascii="仿宋" w:hAnsi="仿宋"/>
              <w:color w:val="auto"/>
              <w:kern w:val="0"/>
            </w:rPr>
            <w:t>（二）</w:t>
          </w:r>
          <w:r>
            <w:rPr>
              <w:rStyle w:val="28"/>
              <w:rFonts w:hint="eastAsia"/>
              <w:color w:val="auto"/>
            </w:rPr>
            <w:t>首席风险官定期报告的时间要求</w:t>
          </w:r>
          <w:r>
            <w:tab/>
          </w:r>
          <w:r>
            <w:fldChar w:fldCharType="begin"/>
          </w:r>
          <w:r>
            <w:instrText xml:space="preserve"> PAGEREF _Toc3896750 \h </w:instrText>
          </w:r>
          <w:r>
            <w:fldChar w:fldCharType="separate"/>
          </w:r>
          <w:r>
            <w:t>110</w:t>
          </w:r>
          <w:r>
            <w:fldChar w:fldCharType="end"/>
          </w:r>
          <w:r>
            <w:fldChar w:fldCharType="end"/>
          </w:r>
        </w:p>
        <w:p>
          <w:pPr>
            <w:pStyle w:val="19"/>
            <w:tabs>
              <w:tab w:val="right" w:leader="dot" w:pos="8296"/>
            </w:tabs>
            <w:ind w:left="480"/>
            <w:rPr>
              <w:rFonts w:asciiTheme="minorHAnsi" w:hAnsiTheme="minorHAnsi" w:eastAsiaTheme="minorEastAsia" w:cstheme="minorBidi"/>
              <w:sz w:val="21"/>
              <w:szCs w:val="22"/>
            </w:rPr>
          </w:pPr>
          <w:r>
            <w:fldChar w:fldCharType="begin"/>
          </w:r>
          <w:r>
            <w:instrText xml:space="preserve"> HYPERLINK \l "_Toc3896751" </w:instrText>
          </w:r>
          <w:r>
            <w:fldChar w:fldCharType="separate"/>
          </w:r>
          <w:r>
            <w:rPr>
              <w:rStyle w:val="28"/>
              <w:rFonts w:hint="eastAsia"/>
              <w:color w:val="auto"/>
            </w:rPr>
            <w:t>二、关于信息技术</w:t>
          </w:r>
          <w:r>
            <w:tab/>
          </w:r>
          <w:r>
            <w:fldChar w:fldCharType="begin"/>
          </w:r>
          <w:r>
            <w:instrText xml:space="preserve"> PAGEREF _Toc3896751 \h </w:instrText>
          </w:r>
          <w:r>
            <w:fldChar w:fldCharType="separate"/>
          </w:r>
          <w:r>
            <w:t>111</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"_Toc3896752" </w:instrText>
          </w:r>
          <w:r>
            <w:fldChar w:fldCharType="separate"/>
          </w:r>
          <w:r>
            <w:rPr>
              <w:rStyle w:val="28"/>
              <w:rFonts w:hint="eastAsia" w:ascii="仿宋" w:hAnsi="仿宋"/>
              <w:color w:val="auto"/>
              <w:kern w:val="0"/>
            </w:rPr>
            <w:t>（一）</w:t>
          </w:r>
          <w:r>
            <w:rPr>
              <w:rStyle w:val="28"/>
              <w:rFonts w:hint="eastAsia"/>
              <w:color w:val="auto"/>
            </w:rPr>
            <w:t>《证券期货业信息安全保障管理办法》</w:t>
          </w:r>
          <w:r>
            <w:tab/>
          </w:r>
          <w:r>
            <w:fldChar w:fldCharType="begin"/>
          </w:r>
          <w:r>
            <w:instrText xml:space="preserve"> PAGEREF _Toc3896752 \h </w:instrText>
          </w:r>
          <w:r>
            <w:fldChar w:fldCharType="separate"/>
          </w:r>
          <w:r>
            <w:t>111</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"_Toc3896753" </w:instrText>
          </w:r>
          <w:r>
            <w:fldChar w:fldCharType="separate"/>
          </w:r>
          <w:r>
            <w:rPr>
              <w:rStyle w:val="28"/>
              <w:rFonts w:hint="eastAsia" w:ascii="仿宋" w:hAnsi="仿宋"/>
              <w:color w:val="auto"/>
              <w:kern w:val="0"/>
            </w:rPr>
            <w:t>（二）</w:t>
          </w:r>
          <w:r>
            <w:rPr>
              <w:rStyle w:val="28"/>
              <w:rFonts w:hint="eastAsia"/>
              <w:color w:val="auto"/>
            </w:rPr>
            <w:t>《证券期货业信息安全事件报告与调查处理办法》</w:t>
          </w:r>
          <w:r>
            <w:tab/>
          </w:r>
          <w:r>
            <w:fldChar w:fldCharType="begin"/>
          </w:r>
          <w:r>
            <w:instrText xml:space="preserve"> PAGEREF _Toc3896753 \h </w:instrText>
          </w:r>
          <w:r>
            <w:fldChar w:fldCharType="separate"/>
          </w:r>
          <w:r>
            <w:t>111</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"_Toc3896754" </w:instrText>
          </w:r>
          <w:r>
            <w:fldChar w:fldCharType="separate"/>
          </w:r>
          <w:r>
            <w:rPr>
              <w:rStyle w:val="28"/>
              <w:rFonts w:hint="eastAsia" w:ascii="仿宋" w:hAnsi="仿宋"/>
              <w:color w:val="auto"/>
              <w:kern w:val="0"/>
            </w:rPr>
            <w:t>（三）</w:t>
          </w:r>
          <w:r>
            <w:rPr>
              <w:rStyle w:val="28"/>
              <w:rFonts w:hint="eastAsia"/>
              <w:color w:val="auto"/>
            </w:rPr>
            <w:t>《关于加强证券期货经营机构客户交易终端信息等客户信息管理的规定》</w:t>
          </w:r>
          <w:r>
            <w:tab/>
          </w:r>
          <w:r>
            <w:fldChar w:fldCharType="begin"/>
          </w:r>
          <w:r>
            <w:instrText xml:space="preserve"> PAGEREF _Toc3896754 \h </w:instrText>
          </w:r>
          <w:r>
            <w:fldChar w:fldCharType="separate"/>
          </w:r>
          <w:r>
            <w:t>117</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"_Toc3896755" </w:instrText>
          </w:r>
          <w:r>
            <w:fldChar w:fldCharType="separate"/>
          </w:r>
          <w:r>
            <w:rPr>
              <w:rStyle w:val="28"/>
              <w:rFonts w:hint="eastAsia" w:ascii="仿宋" w:hAnsi="仿宋"/>
              <w:color w:val="auto"/>
              <w:kern w:val="0"/>
            </w:rPr>
            <w:t>（四）</w:t>
          </w:r>
          <w:r>
            <w:rPr>
              <w:rStyle w:val="28"/>
              <w:rFonts w:hint="eastAsia"/>
              <w:color w:val="auto"/>
            </w:rPr>
            <w:t>了解《期货公司信息技术管理指引》和《证券期货业信息系统安全等级保护基本要求（试行）》。</w:t>
          </w:r>
          <w:r>
            <w:tab/>
          </w:r>
          <w:r>
            <w:fldChar w:fldCharType="begin"/>
          </w:r>
          <w:r>
            <w:instrText xml:space="preserve"> PAGEREF _Toc3896755 \h </w:instrText>
          </w:r>
          <w:r>
            <w:fldChar w:fldCharType="separate"/>
          </w:r>
          <w:r>
            <w:t>118</w:t>
          </w:r>
          <w:r>
            <w:fldChar w:fldCharType="end"/>
          </w:r>
          <w:r>
            <w:fldChar w:fldCharType="end"/>
          </w:r>
        </w:p>
        <w:p>
          <w:pPr>
            <w:pStyle w:val="19"/>
            <w:tabs>
              <w:tab w:val="right" w:leader="dot" w:pos="8296"/>
            </w:tabs>
            <w:ind w:left="480"/>
            <w:rPr>
              <w:rFonts w:asciiTheme="minorHAnsi" w:hAnsiTheme="minorHAnsi" w:eastAsiaTheme="minorEastAsia" w:cstheme="minorBidi"/>
              <w:sz w:val="21"/>
              <w:szCs w:val="22"/>
            </w:rPr>
          </w:pPr>
          <w:r>
            <w:fldChar w:fldCharType="begin"/>
          </w:r>
          <w:r>
            <w:instrText xml:space="preserve"> HYPERLINK \l "_Toc3896756" </w:instrText>
          </w:r>
          <w:r>
            <w:fldChar w:fldCharType="separate"/>
          </w:r>
          <w:r>
            <w:rPr>
              <w:rStyle w:val="28"/>
              <w:rFonts w:hint="eastAsia"/>
              <w:color w:val="auto"/>
            </w:rPr>
            <w:t>三、关于风险管理子公司</w:t>
          </w:r>
          <w:r>
            <w:tab/>
          </w:r>
          <w:r>
            <w:fldChar w:fldCharType="begin"/>
          </w:r>
          <w:r>
            <w:instrText xml:space="preserve"> PAGEREF _Toc3896756 \h </w:instrText>
          </w:r>
          <w:r>
            <w:fldChar w:fldCharType="separate"/>
          </w:r>
          <w:r>
            <w:t>118</w:t>
          </w:r>
          <w:r>
            <w:fldChar w:fldCharType="end"/>
          </w:r>
          <w:r>
            <w:fldChar w:fldCharType="end"/>
          </w:r>
        </w:p>
        <w:p>
          <w:pPr>
            <w:pStyle w:val="10"/>
            <w:tabs>
              <w:tab w:val="right" w:leader="dot" w:pos="8296"/>
            </w:tabs>
            <w:ind w:left="960" w:firstLine="120" w:firstLineChars="50"/>
            <w:rPr>
              <w:rFonts w:asciiTheme="minorHAnsi" w:hAnsiTheme="minorHAnsi" w:eastAsiaTheme="minorEastAsia" w:cstheme="minorBidi"/>
              <w:sz w:val="21"/>
              <w:szCs w:val="22"/>
            </w:rPr>
          </w:pPr>
          <w:r>
            <w:fldChar w:fldCharType="begin"/>
          </w:r>
          <w:r>
            <w:instrText xml:space="preserve"> HYPERLINK \l "_Toc3896757" </w:instrText>
          </w:r>
          <w:r>
            <w:fldChar w:fldCharType="separate"/>
          </w:r>
          <w:r>
            <w:rPr>
              <w:rStyle w:val="28"/>
              <w:rFonts w:ascii="仿宋" w:hAnsi="仿宋"/>
              <w:bCs/>
              <w:color w:val="auto"/>
              <w:kern w:val="0"/>
            </w:rPr>
            <w:t>(</w:t>
          </w:r>
          <w:r>
            <w:rPr>
              <w:rStyle w:val="28"/>
              <w:rFonts w:hint="eastAsia" w:ascii="仿宋" w:hAnsi="仿宋"/>
              <w:bCs/>
              <w:color w:val="auto"/>
              <w:kern w:val="0"/>
            </w:rPr>
            <w:t>一</w:t>
          </w:r>
          <w:r>
            <w:rPr>
              <w:rStyle w:val="28"/>
              <w:rFonts w:ascii="仿宋" w:hAnsi="仿宋"/>
              <w:bCs/>
              <w:color w:val="auto"/>
              <w:kern w:val="0"/>
            </w:rPr>
            <w:t>)</w:t>
          </w:r>
          <w:r>
            <w:rPr>
              <w:rStyle w:val="28"/>
              <w:rFonts w:hint="eastAsia" w:ascii="仿宋" w:hAnsi="仿宋"/>
              <w:bCs/>
              <w:color w:val="auto"/>
              <w:kern w:val="0"/>
            </w:rPr>
            <w:t>风险管理子公司可以开展的试点业务范围</w:t>
          </w:r>
          <w:r>
            <w:tab/>
          </w:r>
          <w:r>
            <w:fldChar w:fldCharType="begin"/>
          </w:r>
          <w:r>
            <w:instrText xml:space="preserve"> PAGEREF _Toc3896757 \h </w:instrText>
          </w:r>
          <w:r>
            <w:fldChar w:fldCharType="separate"/>
          </w:r>
          <w:r>
            <w:t>118</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"_Toc3896758" </w:instrText>
          </w:r>
          <w:r>
            <w:fldChar w:fldCharType="separate"/>
          </w:r>
          <w:r>
            <w:rPr>
              <w:rStyle w:val="28"/>
              <w:rFonts w:hint="eastAsia" w:ascii="仿宋" w:hAnsi="仿宋"/>
              <w:bCs/>
              <w:color w:val="auto"/>
              <w:kern w:val="0"/>
            </w:rPr>
            <w:t>（二）风险管理子公司备案要求</w:t>
          </w:r>
          <w:r>
            <w:tab/>
          </w:r>
          <w:r>
            <w:fldChar w:fldCharType="begin"/>
          </w:r>
          <w:r>
            <w:instrText xml:space="preserve"> PAGEREF _Toc3896758 \h </w:instrText>
          </w:r>
          <w:r>
            <w:fldChar w:fldCharType="separate"/>
          </w:r>
          <w:r>
            <w:t>119</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"_Toc3896759" </w:instrText>
          </w:r>
          <w:r>
            <w:fldChar w:fldCharType="separate"/>
          </w:r>
          <w:r>
            <w:rPr>
              <w:rStyle w:val="28"/>
              <w:rFonts w:hint="eastAsia" w:ascii="仿宋" w:hAnsi="仿宋"/>
              <w:bCs/>
              <w:color w:val="auto"/>
              <w:kern w:val="0"/>
            </w:rPr>
            <w:t>（三）风险管理公司业务规范</w:t>
          </w:r>
          <w:r>
            <w:tab/>
          </w:r>
          <w:r>
            <w:fldChar w:fldCharType="begin"/>
          </w:r>
          <w:r>
            <w:instrText xml:space="preserve"> PAGEREF _Toc3896759 \h </w:instrText>
          </w:r>
          <w:r>
            <w:fldChar w:fldCharType="separate"/>
          </w:r>
          <w:r>
            <w:t>122</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"_Toc3896760" </w:instrText>
          </w:r>
          <w:r>
            <w:fldChar w:fldCharType="separate"/>
          </w:r>
          <w:r>
            <w:rPr>
              <w:rStyle w:val="28"/>
              <w:rFonts w:hint="eastAsia" w:ascii="仿宋" w:hAnsi="仿宋"/>
              <w:bCs/>
              <w:color w:val="auto"/>
              <w:kern w:val="0"/>
            </w:rPr>
            <w:t>（四）风险管理公司内部控制</w:t>
          </w:r>
          <w:r>
            <w:tab/>
          </w:r>
          <w:r>
            <w:fldChar w:fldCharType="begin"/>
          </w:r>
          <w:r>
            <w:instrText xml:space="preserve"> PAGEREF _Toc3896760 \h </w:instrText>
          </w:r>
          <w:r>
            <w:fldChar w:fldCharType="separate"/>
          </w:r>
          <w:r>
            <w:t>124</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"_Toc3896761" </w:instrText>
          </w:r>
          <w:r>
            <w:fldChar w:fldCharType="separate"/>
          </w:r>
          <w:r>
            <w:rPr>
              <w:rStyle w:val="28"/>
              <w:rFonts w:hint="eastAsia" w:ascii="仿宋" w:hAnsi="仿宋"/>
              <w:bCs/>
              <w:color w:val="auto"/>
              <w:kern w:val="0"/>
            </w:rPr>
            <w:t>（五）风险管理公司的信息报送与披露</w:t>
          </w:r>
          <w:r>
            <w:tab/>
          </w:r>
          <w:r>
            <w:fldChar w:fldCharType="begin"/>
          </w:r>
          <w:r>
            <w:instrText xml:space="preserve"> PAGEREF _Toc3896761 \h </w:instrText>
          </w:r>
          <w:r>
            <w:fldChar w:fldCharType="separate"/>
          </w:r>
          <w:r>
            <w:t>126</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"_Toc3896762" </w:instrText>
          </w:r>
          <w:r>
            <w:fldChar w:fldCharType="separate"/>
          </w:r>
          <w:r>
            <w:rPr>
              <w:rStyle w:val="28"/>
              <w:rFonts w:hint="eastAsia" w:ascii="仿宋" w:hAnsi="仿宋"/>
              <w:bCs/>
              <w:color w:val="auto"/>
              <w:kern w:val="0"/>
            </w:rPr>
            <w:t>（六）风险管理公司相关自律管理规定</w:t>
          </w:r>
          <w:r>
            <w:tab/>
          </w:r>
          <w:r>
            <w:fldChar w:fldCharType="begin"/>
          </w:r>
          <w:r>
            <w:instrText xml:space="preserve"> PAGEREF _Toc3896762 \h </w:instrText>
          </w:r>
          <w:r>
            <w:fldChar w:fldCharType="separate"/>
          </w:r>
          <w:r>
            <w:t>127</w:t>
          </w:r>
          <w:r>
            <w:fldChar w:fldCharType="end"/>
          </w:r>
          <w:r>
            <w:fldChar w:fldCharType="end"/>
          </w:r>
        </w:p>
        <w:p>
          <w:pPr>
            <w:pStyle w:val="19"/>
            <w:tabs>
              <w:tab w:val="right" w:leader="dot" w:pos="8296"/>
            </w:tabs>
            <w:ind w:left="480"/>
            <w:rPr>
              <w:rFonts w:asciiTheme="minorHAnsi" w:hAnsiTheme="minorHAnsi" w:eastAsiaTheme="minorEastAsia" w:cstheme="minorBidi"/>
              <w:sz w:val="21"/>
              <w:szCs w:val="22"/>
            </w:rPr>
          </w:pPr>
          <w:r>
            <w:fldChar w:fldCharType="begin"/>
          </w:r>
          <w:r>
            <w:instrText xml:space="preserve"> HYPERLINK \l "_Toc3896763" </w:instrText>
          </w:r>
          <w:r>
            <w:fldChar w:fldCharType="separate"/>
          </w:r>
          <w:r>
            <w:rPr>
              <w:rStyle w:val="28"/>
              <w:rFonts w:hint="eastAsia" w:ascii="仿宋" w:hAnsi="仿宋"/>
              <w:color w:val="auto"/>
            </w:rPr>
            <w:t>四、关于异常交易</w:t>
          </w:r>
          <w:r>
            <w:tab/>
          </w:r>
          <w:r>
            <w:fldChar w:fldCharType="begin"/>
          </w:r>
          <w:r>
            <w:instrText xml:space="preserve"> PAGEREF _Toc3896763 \h </w:instrText>
          </w:r>
          <w:r>
            <w:fldChar w:fldCharType="separate"/>
          </w:r>
          <w:r>
            <w:t>128</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"_Toc3896764" </w:instrText>
          </w:r>
          <w:r>
            <w:fldChar w:fldCharType="separate"/>
          </w:r>
          <w:r>
            <w:rPr>
              <w:rStyle w:val="28"/>
              <w:rFonts w:hint="eastAsia" w:ascii="仿宋" w:hAnsi="仿宋"/>
              <w:color w:val="auto"/>
              <w:kern w:val="0"/>
            </w:rPr>
            <w:t>（一）</w:t>
          </w:r>
          <w:r>
            <w:rPr>
              <w:rStyle w:val="28"/>
              <w:rFonts w:hint="eastAsia" w:ascii="仿宋" w:hAnsi="仿宋"/>
              <w:color w:val="auto"/>
            </w:rPr>
            <w:t>交易所关于期货市场实际控制关系账户的认定标准</w:t>
          </w:r>
          <w:r>
            <w:tab/>
          </w:r>
          <w:r>
            <w:fldChar w:fldCharType="begin"/>
          </w:r>
          <w:r>
            <w:instrText xml:space="preserve"> PAGEREF _Toc3896764 \h </w:instrText>
          </w:r>
          <w:r>
            <w:fldChar w:fldCharType="separate"/>
          </w:r>
          <w:r>
            <w:t>128</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"_Toc3896765" </w:instrText>
          </w:r>
          <w:r>
            <w:fldChar w:fldCharType="separate"/>
          </w:r>
          <w:r>
            <w:rPr>
              <w:rStyle w:val="28"/>
              <w:rFonts w:hint="eastAsia" w:ascii="仿宋" w:hAnsi="仿宋"/>
              <w:color w:val="auto"/>
              <w:kern w:val="0"/>
            </w:rPr>
            <w:t>（二）</w:t>
          </w:r>
          <w:r>
            <w:rPr>
              <w:rStyle w:val="28"/>
              <w:rFonts w:hint="eastAsia" w:ascii="仿宋" w:hAnsi="仿宋"/>
              <w:color w:val="auto"/>
            </w:rPr>
            <w:t>期货市场实际控制关系账户异常交易的监控标准</w:t>
          </w:r>
          <w:r>
            <w:tab/>
          </w:r>
          <w:r>
            <w:fldChar w:fldCharType="begin"/>
          </w:r>
          <w:r>
            <w:instrText xml:space="preserve"> PAGEREF _Toc3896765 \h </w:instrText>
          </w:r>
          <w:r>
            <w:fldChar w:fldCharType="separate"/>
          </w:r>
          <w:r>
            <w:t>129</w:t>
          </w:r>
          <w:r>
            <w:fldChar w:fldCharType="end"/>
          </w:r>
          <w:r>
            <w:fldChar w:fldCharType="end"/>
          </w:r>
        </w:p>
        <w:p>
          <w:pPr>
            <w:pStyle w:val="19"/>
            <w:tabs>
              <w:tab w:val="right" w:leader="dot" w:pos="8296"/>
            </w:tabs>
            <w:ind w:left="480"/>
            <w:rPr>
              <w:rFonts w:asciiTheme="minorHAnsi" w:hAnsiTheme="minorHAnsi" w:eastAsiaTheme="minorEastAsia" w:cstheme="minorBidi"/>
              <w:sz w:val="21"/>
              <w:szCs w:val="22"/>
            </w:rPr>
          </w:pPr>
          <w:r>
            <w:fldChar w:fldCharType="begin"/>
          </w:r>
          <w:r>
            <w:instrText xml:space="preserve"> HYPERLINK \l "_Toc3896766" </w:instrText>
          </w:r>
          <w:r>
            <w:fldChar w:fldCharType="separate"/>
          </w:r>
          <w:r>
            <w:rPr>
              <w:rStyle w:val="28"/>
              <w:rFonts w:hint="eastAsia" w:ascii="仿宋" w:hAnsi="仿宋"/>
              <w:color w:val="auto"/>
            </w:rPr>
            <w:t>五、关于年度报告</w:t>
          </w:r>
          <w:r>
            <w:tab/>
          </w:r>
          <w:r>
            <w:fldChar w:fldCharType="begin"/>
          </w:r>
          <w:r>
            <w:instrText xml:space="preserve"> PAGEREF _Toc3896766 \h </w:instrText>
          </w:r>
          <w:r>
            <w:fldChar w:fldCharType="separate"/>
          </w:r>
          <w:r>
            <w:t>129</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"_Toc3896767" </w:instrText>
          </w:r>
          <w:r>
            <w:fldChar w:fldCharType="separate"/>
          </w:r>
          <w:r>
            <w:rPr>
              <w:rStyle w:val="28"/>
              <w:rFonts w:hint="eastAsia" w:ascii="仿宋" w:hAnsi="仿宋"/>
              <w:color w:val="auto"/>
              <w:kern w:val="0"/>
            </w:rPr>
            <w:t>（一）</w:t>
          </w:r>
          <w:r>
            <w:rPr>
              <w:rStyle w:val="28"/>
              <w:rFonts w:hint="eastAsia" w:ascii="仿宋" w:hAnsi="仿宋"/>
              <w:color w:val="auto"/>
            </w:rPr>
            <w:t>期货公司年度报告的审计要求及报送时间要求</w:t>
          </w:r>
          <w:r>
            <w:tab/>
          </w:r>
          <w:r>
            <w:fldChar w:fldCharType="begin"/>
          </w:r>
          <w:r>
            <w:instrText xml:space="preserve"> PAGEREF _Toc3896767 \h </w:instrText>
          </w:r>
          <w:r>
            <w:fldChar w:fldCharType="separate"/>
          </w:r>
          <w:r>
            <w:t>129</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"_Toc3896768" </w:instrText>
          </w:r>
          <w:r>
            <w:fldChar w:fldCharType="separate"/>
          </w:r>
          <w:r>
            <w:rPr>
              <w:rStyle w:val="28"/>
              <w:rFonts w:hint="eastAsia" w:ascii="仿宋" w:hAnsi="仿宋"/>
              <w:color w:val="auto"/>
              <w:kern w:val="0"/>
            </w:rPr>
            <w:t>（二）</w:t>
          </w:r>
          <w:r>
            <w:rPr>
              <w:rStyle w:val="28"/>
              <w:rFonts w:hint="eastAsia" w:ascii="仿宋" w:hAnsi="仿宋"/>
              <w:color w:val="auto"/>
            </w:rPr>
            <w:t>期货公司年度报告、月度报告签署确认的规定</w:t>
          </w:r>
          <w:r>
            <w:tab/>
          </w:r>
          <w:r>
            <w:fldChar w:fldCharType="begin"/>
          </w:r>
          <w:r>
            <w:instrText xml:space="preserve"> PAGEREF _Toc3896768 \h </w:instrText>
          </w:r>
          <w:r>
            <w:fldChar w:fldCharType="separate"/>
          </w:r>
          <w:r>
            <w:t>130</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"_Toc3896769" </w:instrText>
          </w:r>
          <w:r>
            <w:fldChar w:fldCharType="separate"/>
          </w:r>
          <w:r>
            <w:rPr>
              <w:rStyle w:val="28"/>
              <w:rFonts w:hint="eastAsia" w:ascii="仿宋" w:hAnsi="仿宋"/>
              <w:color w:val="auto"/>
              <w:kern w:val="0"/>
            </w:rPr>
            <w:t>（三）</w:t>
          </w:r>
          <w:r>
            <w:rPr>
              <w:rStyle w:val="28"/>
              <w:rFonts w:hint="eastAsia" w:ascii="仿宋" w:hAnsi="仿宋"/>
              <w:color w:val="auto"/>
            </w:rPr>
            <w:t>期货公司董事会及董事对编制期货公司年度报告的相关责任</w:t>
          </w:r>
          <w:r>
            <w:tab/>
          </w:r>
          <w:r>
            <w:fldChar w:fldCharType="begin"/>
          </w:r>
          <w:r>
            <w:instrText xml:space="preserve"> PAGEREF _Toc3896769 \h </w:instrText>
          </w:r>
          <w:r>
            <w:fldChar w:fldCharType="separate"/>
          </w:r>
          <w:r>
            <w:t>131</w:t>
          </w:r>
          <w:r>
            <w:fldChar w:fldCharType="end"/>
          </w:r>
          <w:r>
            <w:fldChar w:fldCharType="end"/>
          </w:r>
        </w:p>
        <w:p>
          <w:pPr>
            <w:pStyle w:val="19"/>
            <w:tabs>
              <w:tab w:val="right" w:leader="dot" w:pos="8296"/>
            </w:tabs>
            <w:ind w:left="480"/>
            <w:rPr>
              <w:rFonts w:asciiTheme="minorHAnsi" w:hAnsiTheme="minorHAnsi" w:eastAsiaTheme="minorEastAsia" w:cstheme="minorBidi"/>
              <w:sz w:val="21"/>
              <w:szCs w:val="22"/>
            </w:rPr>
          </w:pPr>
          <w:r>
            <w:fldChar w:fldCharType="begin"/>
          </w:r>
          <w:r>
            <w:instrText xml:space="preserve"> HYPERLINK \l "_Toc3896770" </w:instrText>
          </w:r>
          <w:r>
            <w:fldChar w:fldCharType="separate"/>
          </w:r>
          <w:r>
            <w:rPr>
              <w:rStyle w:val="28"/>
              <w:rFonts w:hint="eastAsia" w:ascii="仿宋" w:hAnsi="仿宋"/>
              <w:color w:val="auto"/>
            </w:rPr>
            <w:t>六、关于信息披露</w:t>
          </w:r>
          <w:r>
            <w:tab/>
          </w:r>
          <w:r>
            <w:fldChar w:fldCharType="begin"/>
          </w:r>
          <w:r>
            <w:instrText xml:space="preserve"> PAGEREF _Toc3896770 \h </w:instrText>
          </w:r>
          <w:r>
            <w:fldChar w:fldCharType="separate"/>
          </w:r>
          <w:r>
            <w:t>131</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"_Toc3896771" </w:instrText>
          </w:r>
          <w:r>
            <w:fldChar w:fldCharType="separate"/>
          </w:r>
          <w:r>
            <w:rPr>
              <w:rStyle w:val="28"/>
              <w:rFonts w:hint="eastAsia" w:ascii="仿宋" w:hAnsi="仿宋"/>
              <w:color w:val="auto"/>
              <w:kern w:val="0"/>
            </w:rPr>
            <w:t>（一）</w:t>
          </w:r>
          <w:r>
            <w:rPr>
              <w:rStyle w:val="28"/>
              <w:rFonts w:hint="eastAsia" w:ascii="仿宋" w:hAnsi="仿宋"/>
              <w:color w:val="auto"/>
            </w:rPr>
            <w:t>持有期货公司</w:t>
          </w:r>
          <w:r>
            <w:rPr>
              <w:rStyle w:val="28"/>
              <w:rFonts w:ascii="仿宋" w:hAnsi="仿宋"/>
              <w:color w:val="auto"/>
            </w:rPr>
            <w:t>5%</w:t>
          </w:r>
          <w:r>
            <w:rPr>
              <w:rStyle w:val="28"/>
              <w:rFonts w:hint="eastAsia" w:ascii="仿宋" w:hAnsi="仿宋"/>
              <w:color w:val="auto"/>
            </w:rPr>
            <w:t>以上股权的股东、实际控制人或者其他关联人出现特定情形时的报告义务</w:t>
          </w:r>
          <w:r>
            <w:tab/>
          </w:r>
          <w:r>
            <w:fldChar w:fldCharType="begin"/>
          </w:r>
          <w:r>
            <w:instrText xml:space="preserve"> PAGEREF _Toc3896771 \h </w:instrText>
          </w:r>
          <w:r>
            <w:fldChar w:fldCharType="separate"/>
          </w:r>
          <w:r>
            <w:t>131</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"_Toc3896772" </w:instrText>
          </w:r>
          <w:r>
            <w:fldChar w:fldCharType="separate"/>
          </w:r>
          <w:r>
            <w:rPr>
              <w:rStyle w:val="28"/>
              <w:rFonts w:hint="eastAsia" w:ascii="仿宋" w:hAnsi="仿宋"/>
              <w:color w:val="auto"/>
              <w:kern w:val="0"/>
            </w:rPr>
            <w:t>（二）</w:t>
          </w:r>
          <w:r>
            <w:rPr>
              <w:rStyle w:val="28"/>
              <w:rFonts w:hint="eastAsia" w:ascii="仿宋" w:hAnsi="仿宋"/>
              <w:color w:val="auto"/>
            </w:rPr>
            <w:t>期货公司或其董事、监事、高级管理人员出现特定情形时的报告义务</w:t>
          </w:r>
          <w:r>
            <w:tab/>
          </w:r>
          <w:r>
            <w:fldChar w:fldCharType="begin"/>
          </w:r>
          <w:r>
            <w:instrText xml:space="preserve"> PAGEREF _Toc3896772 \h </w:instrText>
          </w:r>
          <w:r>
            <w:fldChar w:fldCharType="separate"/>
          </w:r>
          <w:r>
            <w:t>132</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"_Toc3896773" </w:instrText>
          </w:r>
          <w:r>
            <w:fldChar w:fldCharType="separate"/>
          </w:r>
          <w:r>
            <w:rPr>
              <w:rStyle w:val="28"/>
              <w:rFonts w:hint="eastAsia" w:ascii="仿宋" w:hAnsi="仿宋"/>
              <w:color w:val="auto"/>
              <w:kern w:val="0"/>
            </w:rPr>
            <w:t>（三）</w:t>
          </w:r>
          <w:r>
            <w:rPr>
              <w:rStyle w:val="28"/>
              <w:rFonts w:hint="eastAsia" w:ascii="仿宋" w:hAnsi="仿宋"/>
              <w:color w:val="auto"/>
            </w:rPr>
            <w:t>期货公司出现特定情形的公告义务</w:t>
          </w:r>
          <w:r>
            <w:tab/>
          </w:r>
          <w:r>
            <w:fldChar w:fldCharType="begin"/>
          </w:r>
          <w:r>
            <w:instrText xml:space="preserve"> PAGEREF _Toc3896773 \h </w:instrText>
          </w:r>
          <w:r>
            <w:fldChar w:fldCharType="separate"/>
          </w:r>
          <w:r>
            <w:t>135</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"_Toc3896774" </w:instrText>
          </w:r>
          <w:r>
            <w:fldChar w:fldCharType="separate"/>
          </w:r>
          <w:r>
            <w:rPr>
              <w:rStyle w:val="28"/>
              <w:rFonts w:hint="eastAsia" w:ascii="仿宋" w:hAnsi="仿宋"/>
              <w:color w:val="auto"/>
              <w:kern w:val="0"/>
            </w:rPr>
            <w:t>（四）</w:t>
          </w:r>
          <w:r>
            <w:rPr>
              <w:rStyle w:val="28"/>
              <w:rFonts w:hint="eastAsia" w:ascii="仿宋" w:hAnsi="仿宋"/>
              <w:color w:val="auto"/>
            </w:rPr>
            <w:t>期货公司代履行董事长、总经理、首席风险官职务的报告义务</w:t>
          </w:r>
          <w:r>
            <w:tab/>
          </w:r>
          <w:r>
            <w:fldChar w:fldCharType="begin"/>
          </w:r>
          <w:r>
            <w:instrText xml:space="preserve"> PAGEREF _Toc3896774 \h </w:instrText>
          </w:r>
          <w:r>
            <w:fldChar w:fldCharType="separate"/>
          </w:r>
          <w:r>
            <w:t>135</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"_Toc3896775" </w:instrText>
          </w:r>
          <w:r>
            <w:fldChar w:fldCharType="separate"/>
          </w:r>
          <w:r>
            <w:rPr>
              <w:rStyle w:val="28"/>
              <w:rFonts w:hint="eastAsia" w:ascii="仿宋" w:hAnsi="仿宋"/>
              <w:color w:val="auto"/>
              <w:kern w:val="0"/>
            </w:rPr>
            <w:t>（五）</w:t>
          </w:r>
          <w:r>
            <w:rPr>
              <w:rStyle w:val="28"/>
              <w:rFonts w:hint="eastAsia" w:ascii="仿宋" w:hAnsi="仿宋"/>
              <w:color w:val="auto"/>
            </w:rPr>
            <w:t>期货公司应当说明风险控制指标监管具体情况并报告的规定</w:t>
          </w:r>
          <w:r>
            <w:tab/>
          </w:r>
          <w:r>
            <w:fldChar w:fldCharType="begin"/>
          </w:r>
          <w:r>
            <w:instrText xml:space="preserve"> PAGEREF _Toc3896775 \h </w:instrText>
          </w:r>
          <w:r>
            <w:fldChar w:fldCharType="separate"/>
          </w:r>
          <w:r>
            <w:t>136</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"_Toc3896776" </w:instrText>
          </w:r>
          <w:r>
            <w:fldChar w:fldCharType="separate"/>
          </w:r>
          <w:r>
            <w:rPr>
              <w:rStyle w:val="28"/>
              <w:rFonts w:hint="eastAsia" w:ascii="仿宋" w:hAnsi="仿宋"/>
              <w:color w:val="auto"/>
              <w:kern w:val="0"/>
            </w:rPr>
            <w:t>（六）</w:t>
          </w:r>
          <w:r>
            <w:rPr>
              <w:rStyle w:val="28"/>
              <w:rFonts w:hint="eastAsia" w:ascii="仿宋" w:hAnsi="仿宋"/>
              <w:color w:val="auto"/>
            </w:rPr>
            <w:t>期货公司应编制风险控制指标监管报表并进行定期报告的规定</w:t>
          </w:r>
          <w:r>
            <w:tab/>
          </w:r>
          <w:r>
            <w:fldChar w:fldCharType="begin"/>
          </w:r>
          <w:r>
            <w:instrText xml:space="preserve"> PAGEREF _Toc3896776 \h </w:instrText>
          </w:r>
          <w:r>
            <w:fldChar w:fldCharType="separate"/>
          </w:r>
          <w:r>
            <w:t>136</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"_Toc3896777" </w:instrText>
          </w:r>
          <w:r>
            <w:fldChar w:fldCharType="separate"/>
          </w:r>
          <w:r>
            <w:rPr>
              <w:rStyle w:val="28"/>
              <w:rFonts w:hint="eastAsia" w:ascii="仿宋" w:hAnsi="仿宋"/>
              <w:color w:val="auto"/>
              <w:kern w:val="0"/>
            </w:rPr>
            <w:t>（七）</w:t>
          </w:r>
          <w:r>
            <w:rPr>
              <w:rStyle w:val="28"/>
              <w:rFonts w:hint="eastAsia" w:ascii="仿宋" w:hAnsi="仿宋"/>
              <w:color w:val="auto"/>
            </w:rPr>
            <w:t>期货公司集中交易系统发生软、硬件故障的报告义务的规定</w:t>
          </w:r>
          <w:r>
            <w:tab/>
          </w:r>
          <w:r>
            <w:fldChar w:fldCharType="begin"/>
          </w:r>
          <w:r>
            <w:instrText xml:space="preserve"> PAGEREF _Toc3896777 \h </w:instrText>
          </w:r>
          <w:r>
            <w:fldChar w:fldCharType="separate"/>
          </w:r>
          <w:r>
            <w:t>137</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"_Toc3896778" </w:instrText>
          </w:r>
          <w:r>
            <w:fldChar w:fldCharType="separate"/>
          </w:r>
          <w:r>
            <w:rPr>
              <w:rStyle w:val="28"/>
              <w:rFonts w:hint="eastAsia" w:ascii="仿宋" w:hAnsi="仿宋"/>
              <w:color w:val="auto"/>
              <w:kern w:val="0"/>
            </w:rPr>
            <w:t>（八）</w:t>
          </w:r>
          <w:r>
            <w:rPr>
              <w:rStyle w:val="28"/>
              <w:rFonts w:hint="eastAsia" w:ascii="仿宋" w:hAnsi="仿宋"/>
              <w:color w:val="auto"/>
            </w:rPr>
            <w:t>期货经营机构总部的其他信息系统（包括但不限于网上交易系统，银证、银期、银基系统）和营业部交易业务系统的信息系统发生网络与信息安全事件的报告义务的规定</w:t>
          </w:r>
          <w:r>
            <w:tab/>
          </w:r>
          <w:r>
            <w:fldChar w:fldCharType="begin"/>
          </w:r>
          <w:r>
            <w:instrText xml:space="preserve"> PAGEREF _Toc3896778 \h </w:instrText>
          </w:r>
          <w:r>
            <w:fldChar w:fldCharType="separate"/>
          </w:r>
          <w:r>
            <w:t>137</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"_Toc3896779" </w:instrText>
          </w:r>
          <w:r>
            <w:fldChar w:fldCharType="separate"/>
          </w:r>
          <w:r>
            <w:rPr>
              <w:rStyle w:val="28"/>
              <w:rFonts w:hint="eastAsia" w:ascii="仿宋" w:hAnsi="仿宋"/>
              <w:color w:val="auto"/>
              <w:kern w:val="0"/>
            </w:rPr>
            <w:t>（九）</w:t>
          </w:r>
          <w:r>
            <w:rPr>
              <w:rStyle w:val="28"/>
              <w:rFonts w:hint="eastAsia" w:ascii="仿宋" w:hAnsi="仿宋"/>
              <w:color w:val="auto"/>
            </w:rPr>
            <w:t>熟悉期货公司经纪合同的制定及签订要求</w:t>
          </w:r>
          <w:r>
            <w:tab/>
          </w:r>
          <w:r>
            <w:fldChar w:fldCharType="begin"/>
          </w:r>
          <w:r>
            <w:instrText xml:space="preserve"> PAGEREF _Toc3896779 \h </w:instrText>
          </w:r>
          <w:r>
            <w:fldChar w:fldCharType="separate"/>
          </w:r>
          <w:r>
            <w:t>138</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"_Toc3896780" </w:instrText>
          </w:r>
          <w:r>
            <w:fldChar w:fldCharType="separate"/>
          </w:r>
          <w:r>
            <w:rPr>
              <w:rStyle w:val="28"/>
              <w:rFonts w:hint="eastAsia" w:ascii="仿宋" w:hAnsi="仿宋"/>
              <w:color w:val="auto"/>
              <w:kern w:val="0"/>
            </w:rPr>
            <w:t>（十）</w:t>
          </w:r>
          <w:r>
            <w:rPr>
              <w:rStyle w:val="28"/>
              <w:rFonts w:hint="eastAsia" w:ascii="仿宋" w:hAnsi="仿宋"/>
              <w:color w:val="auto"/>
            </w:rPr>
            <w:t>期货公司信息公示途径、时间、内容的有关规定</w:t>
          </w:r>
          <w:r>
            <w:tab/>
          </w:r>
          <w:r>
            <w:fldChar w:fldCharType="begin"/>
          </w:r>
          <w:r>
            <w:instrText xml:space="preserve"> PAGEREF _Toc3896780 \h </w:instrText>
          </w:r>
          <w:r>
            <w:fldChar w:fldCharType="separate"/>
          </w:r>
          <w:r>
            <w:t>138</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"_Toc3896781" </w:instrText>
          </w:r>
          <w:r>
            <w:fldChar w:fldCharType="separate"/>
          </w:r>
          <w:r>
            <w:rPr>
              <w:rStyle w:val="28"/>
              <w:rFonts w:hint="eastAsia" w:ascii="仿宋" w:hAnsi="仿宋"/>
              <w:color w:val="auto"/>
              <w:kern w:val="0"/>
            </w:rPr>
            <w:t>（十一）</w:t>
          </w:r>
          <w:r>
            <w:rPr>
              <w:rStyle w:val="28"/>
              <w:rFonts w:hint="eastAsia" w:ascii="仿宋" w:hAnsi="仿宋"/>
              <w:color w:val="auto"/>
            </w:rPr>
            <w:t>期货公司投资咨询业务定期报告的有关规定</w:t>
          </w:r>
          <w:r>
            <w:tab/>
          </w:r>
          <w:r>
            <w:fldChar w:fldCharType="begin"/>
          </w:r>
          <w:r>
            <w:instrText xml:space="preserve"> PAGEREF _Toc3896781 \h </w:instrText>
          </w:r>
          <w:r>
            <w:fldChar w:fldCharType="separate"/>
          </w:r>
          <w:r>
            <w:t>139</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"_Toc3896782" </w:instrText>
          </w:r>
          <w:r>
            <w:fldChar w:fldCharType="separate"/>
          </w:r>
          <w:r>
            <w:rPr>
              <w:rStyle w:val="28"/>
              <w:rFonts w:hint="eastAsia" w:ascii="仿宋" w:hAnsi="仿宋"/>
              <w:color w:val="auto"/>
              <w:kern w:val="0"/>
            </w:rPr>
            <w:t>（十二）</w:t>
          </w:r>
          <w:r>
            <w:rPr>
              <w:rStyle w:val="28"/>
              <w:rFonts w:hint="eastAsia" w:ascii="仿宋" w:hAnsi="仿宋"/>
              <w:color w:val="auto"/>
            </w:rPr>
            <w:t>期货公司公示风险管理基本信息的有关规定</w:t>
          </w:r>
          <w:r>
            <w:tab/>
          </w:r>
          <w:r>
            <w:fldChar w:fldCharType="begin"/>
          </w:r>
          <w:r>
            <w:instrText xml:space="preserve"> PAGEREF _Toc3896782 \h </w:instrText>
          </w:r>
          <w:r>
            <w:fldChar w:fldCharType="separate"/>
          </w:r>
          <w:r>
            <w:t>140</w:t>
          </w:r>
          <w:r>
            <w:fldChar w:fldCharType="end"/>
          </w:r>
          <w:r>
            <w:fldChar w:fldCharType="end"/>
          </w:r>
        </w:p>
        <w:p>
          <w:pPr>
            <w:pStyle w:val="19"/>
            <w:tabs>
              <w:tab w:val="right" w:leader="dot" w:pos="8296"/>
            </w:tabs>
            <w:ind w:left="480"/>
            <w:rPr>
              <w:rFonts w:asciiTheme="minorHAnsi" w:hAnsiTheme="minorHAnsi" w:eastAsiaTheme="minorEastAsia" w:cstheme="minorBidi"/>
              <w:sz w:val="21"/>
              <w:szCs w:val="22"/>
            </w:rPr>
          </w:pPr>
          <w:r>
            <w:fldChar w:fldCharType="begin"/>
          </w:r>
          <w:r>
            <w:instrText xml:space="preserve"> HYPERLINK \l "_Toc3896783" </w:instrText>
          </w:r>
          <w:r>
            <w:fldChar w:fldCharType="separate"/>
          </w:r>
          <w:r>
            <w:rPr>
              <w:rStyle w:val="28"/>
              <w:rFonts w:hint="eastAsia"/>
              <w:color w:val="auto"/>
            </w:rPr>
            <w:t>七、关于反洗钱</w:t>
          </w:r>
          <w:r>
            <w:tab/>
          </w:r>
          <w:r>
            <w:fldChar w:fldCharType="begin"/>
          </w:r>
          <w:r>
            <w:instrText xml:space="preserve"> PAGEREF _Toc3896783 \h </w:instrText>
          </w:r>
          <w:r>
            <w:fldChar w:fldCharType="separate"/>
          </w:r>
          <w:r>
            <w:t>140</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"_Toc3896784" </w:instrText>
          </w:r>
          <w:r>
            <w:fldChar w:fldCharType="separate"/>
          </w:r>
          <w:r>
            <w:rPr>
              <w:rStyle w:val="28"/>
              <w:rFonts w:hint="eastAsia"/>
              <w:color w:val="auto"/>
            </w:rPr>
            <w:t>（一）反洗钱的概念</w:t>
          </w:r>
          <w:r>
            <w:tab/>
          </w:r>
          <w:r>
            <w:fldChar w:fldCharType="begin"/>
          </w:r>
          <w:r>
            <w:instrText xml:space="preserve"> PAGEREF _Toc3896784 \h </w:instrText>
          </w:r>
          <w:r>
            <w:fldChar w:fldCharType="separate"/>
          </w:r>
          <w:r>
            <w:t>140</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"_Toc3896785" </w:instrText>
          </w:r>
          <w:r>
            <w:fldChar w:fldCharType="separate"/>
          </w:r>
          <w:r>
            <w:rPr>
              <w:rStyle w:val="28"/>
              <w:rFonts w:hint="eastAsia" w:ascii="仿宋" w:hAnsi="仿宋"/>
              <w:color w:val="auto"/>
              <w:kern w:val="0"/>
            </w:rPr>
            <w:t>（二）义务机构履行反洗钱义务的必要条件</w:t>
          </w:r>
          <w:r>
            <w:tab/>
          </w:r>
          <w:r>
            <w:fldChar w:fldCharType="begin"/>
          </w:r>
          <w:r>
            <w:instrText xml:space="preserve"> PAGEREF _Toc3896785 \h </w:instrText>
          </w:r>
          <w:r>
            <w:fldChar w:fldCharType="separate"/>
          </w:r>
          <w:r>
            <w:t>140</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"_Toc3896786" </w:instrText>
          </w:r>
          <w:r>
            <w:fldChar w:fldCharType="separate"/>
          </w:r>
          <w:r>
            <w:rPr>
              <w:rStyle w:val="28"/>
              <w:rFonts w:hint="eastAsia" w:ascii="仿宋" w:hAnsi="仿宋"/>
              <w:color w:val="auto"/>
              <w:kern w:val="0"/>
            </w:rPr>
            <w:t>（三）义务机构的反洗钱义务</w:t>
          </w:r>
          <w:r>
            <w:tab/>
          </w:r>
          <w:r>
            <w:fldChar w:fldCharType="begin"/>
          </w:r>
          <w:r>
            <w:instrText xml:space="preserve"> PAGEREF _Toc3896786 \h </w:instrText>
          </w:r>
          <w:r>
            <w:fldChar w:fldCharType="separate"/>
          </w:r>
          <w:r>
            <w:t>141</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"_Toc3896787" </w:instrText>
          </w:r>
          <w:r>
            <w:fldChar w:fldCharType="separate"/>
          </w:r>
          <w:r>
            <w:rPr>
              <w:rStyle w:val="28"/>
              <w:rFonts w:hint="eastAsia" w:ascii="仿宋" w:hAnsi="仿宋"/>
              <w:color w:val="auto"/>
              <w:kern w:val="0"/>
            </w:rPr>
            <w:t>（四）义务机构反洗钱法律责任</w:t>
          </w:r>
          <w:r>
            <w:tab/>
          </w:r>
          <w:r>
            <w:fldChar w:fldCharType="begin"/>
          </w:r>
          <w:r>
            <w:instrText xml:space="preserve"> PAGEREF _Toc3896787 \h </w:instrText>
          </w:r>
          <w:r>
            <w:fldChar w:fldCharType="separate"/>
          </w:r>
          <w:r>
            <w:t>142</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"_Toc3896788" </w:instrText>
          </w:r>
          <w:r>
            <w:fldChar w:fldCharType="separate"/>
          </w:r>
          <w:r>
            <w:rPr>
              <w:rStyle w:val="28"/>
              <w:rFonts w:hint="eastAsia" w:ascii="仿宋" w:hAnsi="仿宋"/>
              <w:color w:val="auto"/>
              <w:kern w:val="0"/>
            </w:rPr>
            <w:t>（五）客户身份初次识别</w:t>
          </w:r>
          <w:r>
            <w:tab/>
          </w:r>
          <w:r>
            <w:fldChar w:fldCharType="begin"/>
          </w:r>
          <w:r>
            <w:instrText xml:space="preserve"> PAGEREF _Toc3896788 \h </w:instrText>
          </w:r>
          <w:r>
            <w:fldChar w:fldCharType="separate"/>
          </w:r>
          <w:r>
            <w:t>143</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"_Toc3896789" </w:instrText>
          </w:r>
          <w:r>
            <w:fldChar w:fldCharType="separate"/>
          </w:r>
          <w:r>
            <w:rPr>
              <w:rStyle w:val="28"/>
              <w:rFonts w:hint="eastAsia" w:ascii="仿宋" w:hAnsi="仿宋"/>
              <w:color w:val="auto"/>
              <w:kern w:val="0"/>
            </w:rPr>
            <w:t>（六）客户身份持续识别</w:t>
          </w:r>
          <w:r>
            <w:tab/>
          </w:r>
          <w:r>
            <w:fldChar w:fldCharType="begin"/>
          </w:r>
          <w:r>
            <w:instrText xml:space="preserve"> PAGEREF _Toc3896789 \h </w:instrText>
          </w:r>
          <w:r>
            <w:fldChar w:fldCharType="separate"/>
          </w:r>
          <w:r>
            <w:t>144</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"_Toc3896790" </w:instrText>
          </w:r>
          <w:r>
            <w:fldChar w:fldCharType="separate"/>
          </w:r>
          <w:r>
            <w:rPr>
              <w:rStyle w:val="28"/>
              <w:rFonts w:hint="eastAsia" w:ascii="仿宋" w:hAnsi="仿宋"/>
              <w:color w:val="auto"/>
            </w:rPr>
            <w:t>（七）</w:t>
          </w:r>
          <w:r>
            <w:rPr>
              <w:rStyle w:val="28"/>
              <w:rFonts w:hint="eastAsia" w:ascii="仿宋" w:hAnsi="仿宋"/>
              <w:color w:val="auto"/>
              <w:kern w:val="0"/>
            </w:rPr>
            <w:t>客户身份重新识别</w:t>
          </w:r>
          <w:r>
            <w:tab/>
          </w:r>
          <w:r>
            <w:fldChar w:fldCharType="begin"/>
          </w:r>
          <w:r>
            <w:instrText xml:space="preserve"> PAGEREF _Toc3896790 \h </w:instrText>
          </w:r>
          <w:r>
            <w:fldChar w:fldCharType="separate"/>
          </w:r>
          <w:r>
            <w:t>144</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"_Toc3896791" </w:instrText>
          </w:r>
          <w:r>
            <w:fldChar w:fldCharType="separate"/>
          </w:r>
          <w:r>
            <w:rPr>
              <w:rStyle w:val="28"/>
              <w:rFonts w:hint="eastAsia" w:ascii="仿宋" w:hAnsi="仿宋"/>
              <w:color w:val="auto"/>
              <w:kern w:val="0"/>
            </w:rPr>
            <w:t>（八）持续识别非自然人客户受益所有人义务</w:t>
          </w:r>
          <w:r>
            <w:tab/>
          </w:r>
          <w:r>
            <w:fldChar w:fldCharType="begin"/>
          </w:r>
          <w:r>
            <w:instrText xml:space="preserve"> PAGEREF _Toc3896791 \h </w:instrText>
          </w:r>
          <w:r>
            <w:fldChar w:fldCharType="separate"/>
          </w:r>
          <w:r>
            <w:t>145</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"_Toc3896792" </w:instrText>
          </w:r>
          <w:r>
            <w:fldChar w:fldCharType="separate"/>
          </w:r>
          <w:r>
            <w:rPr>
              <w:rStyle w:val="28"/>
              <w:rFonts w:hint="eastAsia" w:ascii="仿宋" w:hAnsi="仿宋"/>
              <w:color w:val="auto"/>
              <w:kern w:val="0"/>
            </w:rPr>
            <w:t>（九）特定业务关系中客户的身份识别义务</w:t>
          </w:r>
          <w:r>
            <w:tab/>
          </w:r>
          <w:r>
            <w:fldChar w:fldCharType="begin"/>
          </w:r>
          <w:r>
            <w:instrText xml:space="preserve"> PAGEREF _Toc3896792 \h </w:instrText>
          </w:r>
          <w:r>
            <w:fldChar w:fldCharType="separate"/>
          </w:r>
          <w:r>
            <w:t>146</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"_Toc3896793" </w:instrText>
          </w:r>
          <w:r>
            <w:fldChar w:fldCharType="separate"/>
          </w:r>
          <w:r>
            <w:rPr>
              <w:rStyle w:val="28"/>
              <w:rFonts w:hint="eastAsia" w:ascii="仿宋" w:hAnsi="仿宋"/>
              <w:color w:val="auto"/>
              <w:kern w:val="0"/>
            </w:rPr>
            <w:t>（十）法人金融机构洗钱、恐怖融资和扩散融资风险管理原则</w:t>
          </w:r>
          <w:r>
            <w:tab/>
          </w:r>
          <w:r>
            <w:fldChar w:fldCharType="begin"/>
          </w:r>
          <w:r>
            <w:instrText xml:space="preserve"> PAGEREF _Toc3896793 \h </w:instrText>
          </w:r>
          <w:r>
            <w:fldChar w:fldCharType="separate"/>
          </w:r>
          <w:r>
            <w:t>147</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"_Toc3896794" </w:instrText>
          </w:r>
          <w:r>
            <w:fldChar w:fldCharType="separate"/>
          </w:r>
          <w:r>
            <w:rPr>
              <w:rStyle w:val="28"/>
              <w:rFonts w:hint="eastAsia" w:ascii="仿宋" w:hAnsi="仿宋"/>
              <w:color w:val="auto"/>
              <w:kern w:val="0"/>
            </w:rPr>
            <w:t>（十一）风险管理架构</w:t>
          </w:r>
          <w:r>
            <w:tab/>
          </w:r>
          <w:r>
            <w:fldChar w:fldCharType="begin"/>
          </w:r>
          <w:r>
            <w:instrText xml:space="preserve"> PAGEREF _Toc3896794 \h </w:instrText>
          </w:r>
          <w:r>
            <w:fldChar w:fldCharType="separate"/>
          </w:r>
          <w:r>
            <w:t>149</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"_Toc3896795" </w:instrText>
          </w:r>
          <w:r>
            <w:fldChar w:fldCharType="separate"/>
          </w:r>
          <w:r>
            <w:rPr>
              <w:rStyle w:val="28"/>
              <w:rFonts w:hint="eastAsia" w:ascii="仿宋" w:hAnsi="仿宋"/>
              <w:color w:val="auto"/>
              <w:kern w:val="0"/>
            </w:rPr>
            <w:t>（十二）风险管理策略</w:t>
          </w:r>
          <w:r>
            <w:tab/>
          </w:r>
          <w:r>
            <w:fldChar w:fldCharType="begin"/>
          </w:r>
          <w:r>
            <w:instrText xml:space="preserve"> PAGEREF _Toc3896795 \h </w:instrText>
          </w:r>
          <w:r>
            <w:fldChar w:fldCharType="separate"/>
          </w:r>
          <w:r>
            <w:t>153</w:t>
          </w:r>
          <w:r>
            <w:fldChar w:fldCharType="end"/>
          </w:r>
          <w:r>
            <w:fldChar w:fldCharType="end"/>
          </w:r>
        </w:p>
        <w:p>
          <w:pPr>
            <w:pStyle w:val="19"/>
            <w:tabs>
              <w:tab w:val="right" w:leader="dot" w:pos="8296"/>
            </w:tabs>
            <w:ind w:left="480"/>
            <w:rPr>
              <w:rFonts w:asciiTheme="minorHAnsi" w:hAnsiTheme="minorHAnsi" w:eastAsiaTheme="minorEastAsia" w:cstheme="minorBidi"/>
              <w:sz w:val="21"/>
              <w:szCs w:val="22"/>
            </w:rPr>
          </w:pPr>
          <w:r>
            <w:fldChar w:fldCharType="begin"/>
          </w:r>
          <w:r>
            <w:instrText xml:space="preserve"> HYPERLINK \l "_Toc3896796" </w:instrText>
          </w:r>
          <w:r>
            <w:fldChar w:fldCharType="separate"/>
          </w:r>
          <w:r>
            <w:rPr>
              <w:rStyle w:val="28"/>
              <w:rFonts w:hint="eastAsia"/>
              <w:color w:val="auto"/>
            </w:rPr>
            <w:t>八、关于风险监管指标</w:t>
          </w:r>
          <w:r>
            <w:tab/>
          </w:r>
          <w:r>
            <w:fldChar w:fldCharType="begin"/>
          </w:r>
          <w:r>
            <w:instrText xml:space="preserve"> PAGEREF _Toc3896796 \h </w:instrText>
          </w:r>
          <w:r>
            <w:fldChar w:fldCharType="separate"/>
          </w:r>
          <w:r>
            <w:t>153</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"_Toc3896797" </w:instrText>
          </w:r>
          <w:r>
            <w:fldChar w:fldCharType="separate"/>
          </w:r>
          <w:r>
            <w:rPr>
              <w:rStyle w:val="28"/>
              <w:rFonts w:hint="eastAsia" w:ascii="仿宋" w:hAnsi="仿宋"/>
              <w:color w:val="auto"/>
              <w:kern w:val="0"/>
            </w:rPr>
            <w:t>（一）</w:t>
          </w:r>
          <w:r>
            <w:rPr>
              <w:rStyle w:val="28"/>
              <w:rFonts w:hint="eastAsia"/>
              <w:color w:val="auto"/>
            </w:rPr>
            <w:t>净资本概念</w:t>
          </w:r>
          <w:r>
            <w:tab/>
          </w:r>
          <w:r>
            <w:fldChar w:fldCharType="begin"/>
          </w:r>
          <w:r>
            <w:instrText xml:space="preserve"> PAGEREF _Toc3896797 \h </w:instrText>
          </w:r>
          <w:r>
            <w:fldChar w:fldCharType="separate"/>
          </w:r>
          <w:r>
            <w:t>154</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"_Toc3896798" </w:instrText>
          </w:r>
          <w:r>
            <w:fldChar w:fldCharType="separate"/>
          </w:r>
          <w:r>
            <w:rPr>
              <w:rStyle w:val="28"/>
              <w:rFonts w:hint="eastAsia" w:ascii="仿宋" w:hAnsi="仿宋"/>
              <w:color w:val="auto"/>
              <w:kern w:val="0"/>
            </w:rPr>
            <w:t>（二）</w:t>
          </w:r>
          <w:r>
            <w:rPr>
              <w:rStyle w:val="28"/>
              <w:rFonts w:hint="eastAsia"/>
              <w:color w:val="auto"/>
            </w:rPr>
            <w:t>风险资本准备概念及最低限额结算准备金</w:t>
          </w:r>
          <w:r>
            <w:tab/>
          </w:r>
          <w:r>
            <w:fldChar w:fldCharType="begin"/>
          </w:r>
          <w:r>
            <w:instrText xml:space="preserve"> PAGEREF _Toc3896798 \h </w:instrText>
          </w:r>
          <w:r>
            <w:fldChar w:fldCharType="separate"/>
          </w:r>
          <w:r>
            <w:t>154</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"_Toc3896799" </w:instrText>
          </w:r>
          <w:r>
            <w:fldChar w:fldCharType="separate"/>
          </w:r>
          <w:r>
            <w:rPr>
              <w:rStyle w:val="28"/>
              <w:rFonts w:hint="eastAsia" w:ascii="仿宋" w:hAnsi="仿宋"/>
              <w:color w:val="auto"/>
              <w:kern w:val="0"/>
            </w:rPr>
            <w:t>（三）</w:t>
          </w:r>
          <w:r>
            <w:rPr>
              <w:rStyle w:val="28"/>
              <w:rFonts w:hint="eastAsia"/>
              <w:color w:val="auto"/>
            </w:rPr>
            <w:t>风险监管指标的编制及披露</w:t>
          </w:r>
          <w:r>
            <w:tab/>
          </w:r>
          <w:r>
            <w:fldChar w:fldCharType="begin"/>
          </w:r>
          <w:r>
            <w:instrText xml:space="preserve"> PAGEREF _Toc3896799 \h </w:instrText>
          </w:r>
          <w:r>
            <w:fldChar w:fldCharType="separate"/>
          </w:r>
          <w:r>
            <w:t>155</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"_Toc3896800" </w:instrText>
          </w:r>
          <w:r>
            <w:fldChar w:fldCharType="separate"/>
          </w:r>
          <w:r>
            <w:rPr>
              <w:rStyle w:val="28"/>
              <w:rFonts w:hint="eastAsia" w:ascii="仿宋" w:hAnsi="仿宋"/>
              <w:color w:val="auto"/>
              <w:kern w:val="0"/>
            </w:rPr>
            <w:t>（四）</w:t>
          </w:r>
          <w:r>
            <w:rPr>
              <w:rStyle w:val="28"/>
              <w:rFonts w:hint="eastAsia"/>
              <w:color w:val="auto"/>
            </w:rPr>
            <w:t>期货公司风险资本准备标准</w:t>
          </w:r>
          <w:r>
            <w:tab/>
          </w:r>
          <w:r>
            <w:fldChar w:fldCharType="begin"/>
          </w:r>
          <w:r>
            <w:instrText xml:space="preserve"> PAGEREF _Toc3896800 \h </w:instrText>
          </w:r>
          <w:r>
            <w:fldChar w:fldCharType="separate"/>
          </w:r>
          <w:r>
            <w:t>155</w:t>
          </w:r>
          <w:r>
            <w:fldChar w:fldCharType="end"/>
          </w:r>
          <w:r>
            <w:fldChar w:fldCharType="end"/>
          </w:r>
        </w:p>
        <w:p>
          <w:pPr>
            <w:pStyle w:val="19"/>
            <w:tabs>
              <w:tab w:val="right" w:leader="dot" w:pos="8296"/>
            </w:tabs>
            <w:ind w:left="480"/>
            <w:rPr>
              <w:rFonts w:asciiTheme="minorHAnsi" w:hAnsiTheme="minorHAnsi" w:eastAsiaTheme="minorEastAsia" w:cstheme="minorBidi"/>
              <w:sz w:val="21"/>
              <w:szCs w:val="22"/>
            </w:rPr>
          </w:pPr>
          <w:r>
            <w:fldChar w:fldCharType="begin"/>
          </w:r>
          <w:r>
            <w:instrText xml:space="preserve"> HYPERLINK \l "_Toc3896801" </w:instrText>
          </w:r>
          <w:r>
            <w:fldChar w:fldCharType="separate"/>
          </w:r>
          <w:r>
            <w:rPr>
              <w:rStyle w:val="28"/>
              <w:rFonts w:hint="eastAsia"/>
              <w:color w:val="auto"/>
            </w:rPr>
            <w:t>九、关于交易所风险控制制度</w:t>
          </w:r>
          <w:r>
            <w:tab/>
          </w:r>
          <w:r>
            <w:fldChar w:fldCharType="begin"/>
          </w:r>
          <w:r>
            <w:instrText xml:space="preserve"> PAGEREF _Toc3896801 \h </w:instrText>
          </w:r>
          <w:r>
            <w:fldChar w:fldCharType="separate"/>
          </w:r>
          <w:r>
            <w:t>155</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"_Toc3896802" </w:instrText>
          </w:r>
          <w:r>
            <w:fldChar w:fldCharType="separate"/>
          </w:r>
          <w:r>
            <w:rPr>
              <w:rStyle w:val="28"/>
              <w:rFonts w:hint="eastAsia" w:ascii="仿宋" w:hAnsi="仿宋"/>
              <w:color w:val="auto"/>
              <w:kern w:val="0"/>
            </w:rPr>
            <w:t>（一）</w:t>
          </w:r>
          <w:r>
            <w:rPr>
              <w:rStyle w:val="28"/>
              <w:rFonts w:hint="eastAsia"/>
              <w:color w:val="auto"/>
            </w:rPr>
            <w:t>涨跌停板制度</w:t>
          </w:r>
          <w:r>
            <w:tab/>
          </w:r>
          <w:r>
            <w:fldChar w:fldCharType="begin"/>
          </w:r>
          <w:r>
            <w:instrText xml:space="preserve"> PAGEREF _Toc3896802 \h </w:instrText>
          </w:r>
          <w:r>
            <w:fldChar w:fldCharType="separate"/>
          </w:r>
          <w:r>
            <w:t>156</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"_Toc3896803" </w:instrText>
          </w:r>
          <w:r>
            <w:fldChar w:fldCharType="separate"/>
          </w:r>
          <w:r>
            <w:rPr>
              <w:rStyle w:val="28"/>
              <w:rFonts w:hint="eastAsia" w:ascii="仿宋" w:hAnsi="仿宋"/>
              <w:color w:val="auto"/>
              <w:kern w:val="0"/>
            </w:rPr>
            <w:t>（二）</w:t>
          </w:r>
          <w:r>
            <w:rPr>
              <w:rStyle w:val="28"/>
              <w:rFonts w:hint="eastAsia"/>
              <w:color w:val="auto"/>
            </w:rPr>
            <w:t>大户报告制度</w:t>
          </w:r>
          <w:r>
            <w:tab/>
          </w:r>
          <w:r>
            <w:fldChar w:fldCharType="begin"/>
          </w:r>
          <w:r>
            <w:instrText xml:space="preserve"> PAGEREF _Toc3896803 \h </w:instrText>
          </w:r>
          <w:r>
            <w:fldChar w:fldCharType="separate"/>
          </w:r>
          <w:r>
            <w:t>156</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"_Toc3896804" </w:instrText>
          </w:r>
          <w:r>
            <w:fldChar w:fldCharType="separate"/>
          </w:r>
          <w:r>
            <w:rPr>
              <w:rStyle w:val="28"/>
              <w:rFonts w:hint="eastAsia" w:ascii="仿宋" w:hAnsi="仿宋"/>
              <w:color w:val="auto"/>
              <w:kern w:val="0"/>
            </w:rPr>
            <w:t>（三）</w:t>
          </w:r>
          <w:r>
            <w:rPr>
              <w:rStyle w:val="28"/>
              <w:rFonts w:hint="eastAsia"/>
              <w:color w:val="auto"/>
            </w:rPr>
            <w:t>强行平仓制度</w:t>
          </w:r>
          <w:r>
            <w:tab/>
          </w:r>
          <w:r>
            <w:fldChar w:fldCharType="begin"/>
          </w:r>
          <w:r>
            <w:instrText xml:space="preserve"> PAGEREF _Toc3896804 \h </w:instrText>
          </w:r>
          <w:r>
            <w:fldChar w:fldCharType="separate"/>
          </w:r>
          <w:r>
            <w:t>157</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"_Toc3896805" </w:instrText>
          </w:r>
          <w:r>
            <w:fldChar w:fldCharType="separate"/>
          </w:r>
          <w:r>
            <w:rPr>
              <w:rStyle w:val="28"/>
              <w:rFonts w:hint="eastAsia" w:ascii="仿宋" w:hAnsi="仿宋"/>
              <w:color w:val="auto"/>
              <w:kern w:val="0"/>
            </w:rPr>
            <w:t>（四）</w:t>
          </w:r>
          <w:r>
            <w:rPr>
              <w:rStyle w:val="28"/>
              <w:rFonts w:hint="eastAsia"/>
              <w:color w:val="auto"/>
            </w:rPr>
            <w:t>风险警示制度</w:t>
          </w:r>
          <w:r>
            <w:tab/>
          </w:r>
          <w:r>
            <w:fldChar w:fldCharType="begin"/>
          </w:r>
          <w:r>
            <w:instrText xml:space="preserve"> PAGEREF _Toc3896805 \h </w:instrText>
          </w:r>
          <w:r>
            <w:fldChar w:fldCharType="separate"/>
          </w:r>
          <w:r>
            <w:t>157</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"_Toc3896806" </w:instrText>
          </w:r>
          <w:r>
            <w:fldChar w:fldCharType="separate"/>
          </w:r>
          <w:r>
            <w:rPr>
              <w:rStyle w:val="28"/>
              <w:rFonts w:hint="eastAsia" w:ascii="仿宋" w:hAnsi="仿宋"/>
              <w:color w:val="auto"/>
              <w:kern w:val="0"/>
            </w:rPr>
            <w:t>（五）</w:t>
          </w:r>
          <w:r>
            <w:rPr>
              <w:rStyle w:val="28"/>
              <w:rFonts w:hint="eastAsia"/>
              <w:color w:val="auto"/>
            </w:rPr>
            <w:t>限仓制度</w:t>
          </w:r>
          <w:r>
            <w:tab/>
          </w:r>
          <w:r>
            <w:fldChar w:fldCharType="begin"/>
          </w:r>
          <w:r>
            <w:instrText xml:space="preserve"> PAGEREF _Toc3896806 \h </w:instrText>
          </w:r>
          <w:r>
            <w:fldChar w:fldCharType="separate"/>
          </w:r>
          <w:r>
            <w:t>158</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"_Toc3896807" </w:instrText>
          </w:r>
          <w:r>
            <w:fldChar w:fldCharType="separate"/>
          </w:r>
          <w:r>
            <w:rPr>
              <w:rStyle w:val="28"/>
              <w:rFonts w:hint="eastAsia" w:ascii="仿宋" w:hAnsi="仿宋"/>
              <w:color w:val="auto"/>
              <w:kern w:val="0"/>
            </w:rPr>
            <w:t>（六）</w:t>
          </w:r>
          <w:r>
            <w:rPr>
              <w:rStyle w:val="28"/>
              <w:rFonts w:hint="eastAsia"/>
              <w:color w:val="auto"/>
            </w:rPr>
            <w:t>当日无负债结算制度</w:t>
          </w:r>
          <w:r>
            <w:tab/>
          </w:r>
          <w:r>
            <w:fldChar w:fldCharType="begin"/>
          </w:r>
          <w:r>
            <w:instrText xml:space="preserve"> PAGEREF _Toc3896807 \h </w:instrText>
          </w:r>
          <w:r>
            <w:fldChar w:fldCharType="separate"/>
          </w:r>
          <w:r>
            <w:t>158</w:t>
          </w:r>
          <w:r>
            <w:fldChar w:fldCharType="end"/>
          </w:r>
          <w:r>
            <w:fldChar w:fldCharType="end"/>
          </w:r>
        </w:p>
        <w:p>
          <w:pPr>
            <w:pStyle w:val="19"/>
            <w:tabs>
              <w:tab w:val="right" w:leader="dot" w:pos="8296"/>
            </w:tabs>
            <w:ind w:left="480"/>
            <w:rPr>
              <w:rFonts w:asciiTheme="minorHAnsi" w:hAnsiTheme="minorHAnsi" w:eastAsiaTheme="minorEastAsia" w:cstheme="minorBidi"/>
              <w:sz w:val="21"/>
              <w:szCs w:val="22"/>
            </w:rPr>
          </w:pPr>
          <w:r>
            <w:fldChar w:fldCharType="begin"/>
          </w:r>
          <w:r>
            <w:instrText xml:space="preserve"> HYPERLINK \l "_Toc3896808" </w:instrText>
          </w:r>
          <w:r>
            <w:fldChar w:fldCharType="separate"/>
          </w:r>
          <w:r>
            <w:rPr>
              <w:rStyle w:val="28"/>
              <w:rFonts w:hint="eastAsia"/>
              <w:color w:val="auto"/>
            </w:rPr>
            <w:t>十、关于保证金管理的规定</w:t>
          </w:r>
          <w:r>
            <w:tab/>
          </w:r>
          <w:r>
            <w:fldChar w:fldCharType="begin"/>
          </w:r>
          <w:r>
            <w:instrText xml:space="preserve"> PAGEREF _Toc3896808 \h </w:instrText>
          </w:r>
          <w:r>
            <w:fldChar w:fldCharType="separate"/>
          </w:r>
          <w:r>
            <w:t>158</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"_Toc3896809" </w:instrText>
          </w:r>
          <w:r>
            <w:fldChar w:fldCharType="separate"/>
          </w:r>
          <w:r>
            <w:rPr>
              <w:rStyle w:val="28"/>
              <w:rFonts w:hint="eastAsia" w:ascii="仿宋" w:hAnsi="仿宋"/>
              <w:color w:val="auto"/>
              <w:kern w:val="0"/>
            </w:rPr>
            <w:t>（一）</w:t>
          </w:r>
          <w:r>
            <w:rPr>
              <w:rStyle w:val="28"/>
              <w:rFonts w:hint="eastAsia"/>
              <w:color w:val="auto"/>
              <w:kern w:val="0"/>
            </w:rPr>
            <w:t>《期货公司监督管理办法》</w:t>
          </w:r>
          <w:r>
            <w:tab/>
          </w:r>
          <w:r>
            <w:fldChar w:fldCharType="begin"/>
          </w:r>
          <w:r>
            <w:instrText xml:space="preserve"> PAGEREF _Toc3896809 \h </w:instrText>
          </w:r>
          <w:r>
            <w:fldChar w:fldCharType="separate"/>
          </w:r>
          <w:r>
            <w:t>159</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"_Toc3896810" </w:instrText>
          </w:r>
          <w:r>
            <w:fldChar w:fldCharType="separate"/>
          </w:r>
          <w:r>
            <w:rPr>
              <w:rStyle w:val="28"/>
              <w:rFonts w:hint="eastAsia" w:ascii="仿宋" w:hAnsi="仿宋"/>
              <w:color w:val="auto"/>
              <w:kern w:val="0"/>
            </w:rPr>
            <w:t>（二）</w:t>
          </w:r>
          <w:r>
            <w:rPr>
              <w:rStyle w:val="28"/>
              <w:rFonts w:hint="eastAsia"/>
              <w:color w:val="auto"/>
              <w:kern w:val="0"/>
            </w:rPr>
            <w:t>《期货经纪公司保证金封闭管理暂行办法》</w:t>
          </w:r>
          <w:r>
            <w:tab/>
          </w:r>
          <w:r>
            <w:fldChar w:fldCharType="begin"/>
          </w:r>
          <w:r>
            <w:instrText xml:space="preserve"> PAGEREF _Toc3896810 \h </w:instrText>
          </w:r>
          <w:r>
            <w:fldChar w:fldCharType="separate"/>
          </w:r>
          <w:r>
            <w:t>159</w:t>
          </w:r>
          <w:r>
            <w:fldChar w:fldCharType="end"/>
          </w:r>
          <w:r>
            <w:fldChar w:fldCharType="end"/>
          </w:r>
        </w:p>
        <w:p>
          <w:pPr>
            <w:pStyle w:val="19"/>
            <w:tabs>
              <w:tab w:val="right" w:leader="dot" w:pos="8296"/>
            </w:tabs>
            <w:ind w:left="480"/>
            <w:rPr>
              <w:rFonts w:asciiTheme="minorHAnsi" w:hAnsiTheme="minorHAnsi" w:eastAsiaTheme="minorEastAsia" w:cstheme="minorBidi"/>
              <w:sz w:val="21"/>
              <w:szCs w:val="22"/>
            </w:rPr>
          </w:pPr>
          <w:r>
            <w:fldChar w:fldCharType="begin"/>
          </w:r>
          <w:r>
            <w:instrText xml:space="preserve"> HYPERLINK \l "_Toc3896811" </w:instrText>
          </w:r>
          <w:r>
            <w:fldChar w:fldCharType="separate"/>
          </w:r>
          <w:r>
            <w:rPr>
              <w:rStyle w:val="28"/>
              <w:rFonts w:hint="eastAsia"/>
              <w:color w:val="auto"/>
            </w:rPr>
            <w:t>十一、关于经纪业务开销户业务流程</w:t>
          </w:r>
          <w:r>
            <w:tab/>
          </w:r>
          <w:r>
            <w:fldChar w:fldCharType="begin"/>
          </w:r>
          <w:r>
            <w:instrText xml:space="preserve"> PAGEREF _Toc3896811 \h </w:instrText>
          </w:r>
          <w:r>
            <w:fldChar w:fldCharType="separate"/>
          </w:r>
          <w:r>
            <w:t>161</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"_Toc3896812" </w:instrText>
          </w:r>
          <w:r>
            <w:fldChar w:fldCharType="separate"/>
          </w:r>
          <w:r>
            <w:rPr>
              <w:rStyle w:val="28"/>
              <w:rFonts w:hint="eastAsia" w:ascii="仿宋" w:hAnsi="仿宋"/>
              <w:color w:val="auto"/>
              <w:kern w:val="0"/>
            </w:rPr>
            <w:t>（一）</w:t>
          </w:r>
          <w:r>
            <w:rPr>
              <w:rStyle w:val="28"/>
              <w:rFonts w:hint="eastAsia"/>
              <w:color w:val="auto"/>
            </w:rPr>
            <w:t>《期货公司监督管理办法》</w:t>
          </w:r>
          <w:r>
            <w:tab/>
          </w:r>
          <w:r>
            <w:fldChar w:fldCharType="begin"/>
          </w:r>
          <w:r>
            <w:instrText xml:space="preserve"> PAGEREF _Toc3896812 \h </w:instrText>
          </w:r>
          <w:r>
            <w:fldChar w:fldCharType="separate"/>
          </w:r>
          <w:r>
            <w:t>161</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"_Toc3896813" </w:instrText>
          </w:r>
          <w:r>
            <w:fldChar w:fldCharType="separate"/>
          </w:r>
          <w:r>
            <w:rPr>
              <w:rStyle w:val="28"/>
              <w:rFonts w:hint="eastAsia" w:ascii="仿宋" w:hAnsi="仿宋"/>
              <w:color w:val="auto"/>
              <w:kern w:val="0"/>
            </w:rPr>
            <w:t>（二）</w:t>
          </w:r>
          <w:r>
            <w:rPr>
              <w:rStyle w:val="28"/>
              <w:rFonts w:hint="eastAsia"/>
              <w:color w:val="auto"/>
            </w:rPr>
            <w:t>《期货市场客户开户管理规定》</w:t>
          </w:r>
          <w:r>
            <w:tab/>
          </w:r>
          <w:r>
            <w:fldChar w:fldCharType="begin"/>
          </w:r>
          <w:r>
            <w:instrText xml:space="preserve"> PAGEREF _Toc3896813 \h </w:instrText>
          </w:r>
          <w:r>
            <w:fldChar w:fldCharType="separate"/>
          </w:r>
          <w:r>
            <w:t>161</w:t>
          </w:r>
          <w:r>
            <w:fldChar w:fldCharType="end"/>
          </w:r>
          <w:r>
            <w:fldChar w:fldCharType="end"/>
          </w:r>
        </w:p>
        <w:p>
          <w:pPr>
            <w:pStyle w:val="19"/>
            <w:tabs>
              <w:tab w:val="right" w:leader="dot" w:pos="8296"/>
            </w:tabs>
            <w:ind w:left="480"/>
            <w:rPr>
              <w:rFonts w:asciiTheme="minorHAnsi" w:hAnsiTheme="minorHAnsi" w:eastAsiaTheme="minorEastAsia" w:cstheme="minorBidi"/>
              <w:sz w:val="21"/>
              <w:szCs w:val="22"/>
            </w:rPr>
          </w:pPr>
          <w:r>
            <w:fldChar w:fldCharType="begin"/>
          </w:r>
          <w:r>
            <w:instrText xml:space="preserve"> HYPERLINK \l "_Toc3896814" </w:instrText>
          </w:r>
          <w:r>
            <w:fldChar w:fldCharType="separate"/>
          </w:r>
          <w:r>
            <w:rPr>
              <w:rStyle w:val="28"/>
              <w:rFonts w:hint="eastAsia"/>
              <w:color w:val="auto"/>
            </w:rPr>
            <w:t>十二、关于资产管理业务</w:t>
          </w:r>
          <w:r>
            <w:tab/>
          </w:r>
          <w:r>
            <w:fldChar w:fldCharType="begin"/>
          </w:r>
          <w:r>
            <w:instrText xml:space="preserve"> PAGEREF _Toc3896814 \h </w:instrText>
          </w:r>
          <w:r>
            <w:fldChar w:fldCharType="separate"/>
          </w:r>
          <w:r>
            <w:t>165</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"_Toc3896815" </w:instrText>
          </w:r>
          <w:r>
            <w:fldChar w:fldCharType="separate"/>
          </w:r>
          <w:r>
            <w:rPr>
              <w:rStyle w:val="28"/>
              <w:rFonts w:hint="eastAsia" w:ascii="仿宋" w:hAnsi="仿宋"/>
              <w:color w:val="auto"/>
            </w:rPr>
            <w:t>（一）期货公司及从业人员从事资产管理业务的禁止性行为</w:t>
          </w:r>
          <w:r>
            <w:tab/>
          </w:r>
          <w:r>
            <w:fldChar w:fldCharType="begin"/>
          </w:r>
          <w:r>
            <w:instrText xml:space="preserve"> PAGEREF _Toc3896815 \h </w:instrText>
          </w:r>
          <w:r>
            <w:fldChar w:fldCharType="separate"/>
          </w:r>
          <w:r>
            <w:t>165</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"_Toc3896816" </w:instrText>
          </w:r>
          <w:r>
            <w:fldChar w:fldCharType="separate"/>
          </w:r>
          <w:r>
            <w:rPr>
              <w:rStyle w:val="28"/>
              <w:rFonts w:hint="eastAsia" w:ascii="仿宋" w:hAnsi="仿宋"/>
              <w:color w:val="auto"/>
            </w:rPr>
            <w:t>（二）资产管理业务中关于资产管理计划运作的相关规定</w:t>
          </w:r>
          <w:r>
            <w:tab/>
          </w:r>
          <w:r>
            <w:fldChar w:fldCharType="begin"/>
          </w:r>
          <w:r>
            <w:instrText xml:space="preserve"> PAGEREF _Toc3896816 \h </w:instrText>
          </w:r>
          <w:r>
            <w:fldChar w:fldCharType="separate"/>
          </w:r>
          <w:r>
            <w:t>165</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"_Toc3896817" </w:instrText>
          </w:r>
          <w:r>
            <w:fldChar w:fldCharType="separate"/>
          </w:r>
          <w:r>
            <w:rPr>
              <w:rStyle w:val="28"/>
              <w:rFonts w:hint="eastAsia" w:ascii="仿宋" w:hAnsi="仿宋"/>
              <w:color w:val="auto"/>
            </w:rPr>
            <w:t>（三）资产管理业务中关于资产管理计划销售的相关规定</w:t>
          </w:r>
          <w:r>
            <w:tab/>
          </w:r>
          <w:r>
            <w:fldChar w:fldCharType="begin"/>
          </w:r>
          <w:r>
            <w:instrText xml:space="preserve"> PAGEREF _Toc3896817 \h </w:instrText>
          </w:r>
          <w:r>
            <w:fldChar w:fldCharType="separate"/>
          </w:r>
          <w:r>
            <w:t>167</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"_Toc3896818" </w:instrText>
          </w:r>
          <w:r>
            <w:fldChar w:fldCharType="separate"/>
          </w:r>
          <w:r>
            <w:rPr>
              <w:rStyle w:val="28"/>
              <w:rFonts w:hint="eastAsia" w:ascii="仿宋" w:hAnsi="仿宋"/>
              <w:color w:val="auto"/>
            </w:rPr>
            <w:t>（四）资产管理业务的隔离性要求</w:t>
          </w:r>
          <w:r>
            <w:tab/>
          </w:r>
          <w:r>
            <w:fldChar w:fldCharType="begin"/>
          </w:r>
          <w:r>
            <w:instrText xml:space="preserve"> PAGEREF _Toc3896818 \h </w:instrText>
          </w:r>
          <w:r>
            <w:fldChar w:fldCharType="separate"/>
          </w:r>
          <w:r>
            <w:t>168</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"_Toc3896819" </w:instrText>
          </w:r>
          <w:r>
            <w:fldChar w:fldCharType="separate"/>
          </w:r>
          <w:r>
            <w:rPr>
              <w:rStyle w:val="28"/>
              <w:rFonts w:hint="eastAsia" w:ascii="仿宋" w:hAnsi="仿宋"/>
              <w:color w:val="auto"/>
            </w:rPr>
            <w:t>（五）资产管理业务中关于委托第三方机构提供投资建议的的相关规定</w:t>
          </w:r>
          <w:r>
            <w:tab/>
          </w:r>
          <w:r>
            <w:fldChar w:fldCharType="begin"/>
          </w:r>
          <w:r>
            <w:instrText xml:space="preserve"> PAGEREF _Toc3896819 \h </w:instrText>
          </w:r>
          <w:r>
            <w:fldChar w:fldCharType="separate"/>
          </w:r>
          <w:r>
            <w:t>170</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"_Toc3896820" </w:instrText>
          </w:r>
          <w:r>
            <w:fldChar w:fldCharType="separate"/>
          </w:r>
          <w:r>
            <w:rPr>
              <w:rStyle w:val="28"/>
              <w:rFonts w:hint="eastAsia" w:ascii="仿宋" w:hAnsi="仿宋"/>
              <w:color w:val="auto"/>
            </w:rPr>
            <w:t>（六）资产管理业务中关于不得从事违法证券期货业务活动或者为违法证券期货业务活动提供交易便利的禁止性规定</w:t>
          </w:r>
          <w:r>
            <w:tab/>
          </w:r>
          <w:r>
            <w:fldChar w:fldCharType="begin"/>
          </w:r>
          <w:r>
            <w:instrText xml:space="preserve"> PAGEREF _Toc3896820 \h </w:instrText>
          </w:r>
          <w:r>
            <w:fldChar w:fldCharType="separate"/>
          </w:r>
          <w:r>
            <w:t>171</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"_Toc3896821" </w:instrText>
          </w:r>
          <w:r>
            <w:fldChar w:fldCharType="separate"/>
          </w:r>
          <w:r>
            <w:rPr>
              <w:rStyle w:val="28"/>
              <w:rFonts w:hint="eastAsia" w:ascii="仿宋" w:hAnsi="仿宋"/>
              <w:color w:val="auto"/>
            </w:rPr>
            <w:t>（七）资产管理业务的委托终止</w:t>
          </w:r>
          <w:r>
            <w:tab/>
          </w:r>
          <w:r>
            <w:fldChar w:fldCharType="begin"/>
          </w:r>
          <w:r>
            <w:instrText xml:space="preserve"> PAGEREF _Toc3896821 \h </w:instrText>
          </w:r>
          <w:r>
            <w:fldChar w:fldCharType="separate"/>
          </w:r>
          <w:r>
            <w:t>172</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"_Toc3896822" </w:instrText>
          </w:r>
          <w:r>
            <w:fldChar w:fldCharType="separate"/>
          </w:r>
          <w:r>
            <w:rPr>
              <w:rStyle w:val="28"/>
              <w:rFonts w:hint="eastAsia" w:ascii="仿宋" w:hAnsi="仿宋"/>
              <w:color w:val="auto"/>
            </w:rPr>
            <w:t>（八）关于资产管理业务信息公示的要求</w:t>
          </w:r>
          <w:r>
            <w:tab/>
          </w:r>
          <w:r>
            <w:fldChar w:fldCharType="begin"/>
          </w:r>
          <w:r>
            <w:instrText xml:space="preserve"> PAGEREF _Toc3896822 \h </w:instrText>
          </w:r>
          <w:r>
            <w:fldChar w:fldCharType="separate"/>
          </w:r>
          <w:r>
            <w:t>173</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"_Toc3896823" </w:instrText>
          </w:r>
          <w:r>
            <w:fldChar w:fldCharType="separate"/>
          </w:r>
          <w:r>
            <w:rPr>
              <w:rStyle w:val="28"/>
              <w:rFonts w:hint="eastAsia" w:ascii="仿宋" w:hAnsi="仿宋"/>
              <w:color w:val="auto"/>
            </w:rPr>
            <w:t>（九）期货公司应对可疑交易和不公平交易进行监控，防止利益输送的行为</w:t>
          </w:r>
          <w:r>
            <w:tab/>
          </w:r>
          <w:r>
            <w:fldChar w:fldCharType="begin"/>
          </w:r>
          <w:r>
            <w:instrText xml:space="preserve"> PAGEREF _Toc3896823 \h </w:instrText>
          </w:r>
          <w:r>
            <w:fldChar w:fldCharType="separate"/>
          </w:r>
          <w:r>
            <w:t>173</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"_Toc3896824" </w:instrText>
          </w:r>
          <w:r>
            <w:fldChar w:fldCharType="separate"/>
          </w:r>
          <w:r>
            <w:rPr>
              <w:rStyle w:val="28"/>
              <w:rFonts w:hint="eastAsia" w:ascii="仿宋" w:hAnsi="仿宋"/>
              <w:color w:val="auto"/>
            </w:rPr>
            <w:t>（十）关于资产管理业务投资范围的要求</w:t>
          </w:r>
          <w:r>
            <w:tab/>
          </w:r>
          <w:r>
            <w:fldChar w:fldCharType="begin"/>
          </w:r>
          <w:r>
            <w:instrText xml:space="preserve"> PAGEREF _Toc3896824 \h </w:instrText>
          </w:r>
          <w:r>
            <w:fldChar w:fldCharType="separate"/>
          </w:r>
          <w:r>
            <w:t>173</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"_Toc3896825" </w:instrText>
          </w:r>
          <w:r>
            <w:fldChar w:fldCharType="separate"/>
          </w:r>
          <w:r>
            <w:rPr>
              <w:rStyle w:val="28"/>
              <w:rFonts w:hint="eastAsia" w:ascii="仿宋" w:hAnsi="仿宋"/>
              <w:color w:val="auto"/>
            </w:rPr>
            <w:t>（十一）关于资产管理业务从业主体的要求</w:t>
          </w:r>
          <w:r>
            <w:tab/>
          </w:r>
          <w:r>
            <w:fldChar w:fldCharType="begin"/>
          </w:r>
          <w:r>
            <w:instrText xml:space="preserve"> PAGEREF _Toc3896825 \h </w:instrText>
          </w:r>
          <w:r>
            <w:fldChar w:fldCharType="separate"/>
          </w:r>
          <w:r>
            <w:t>174</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"_Toc3896826" </w:instrText>
          </w:r>
          <w:r>
            <w:fldChar w:fldCharType="separate"/>
          </w:r>
          <w:r>
            <w:rPr>
              <w:rStyle w:val="28"/>
              <w:rFonts w:hint="eastAsia" w:ascii="仿宋" w:hAnsi="仿宋"/>
              <w:color w:val="auto"/>
            </w:rPr>
            <w:t>（十二）资产管理业务的投资者要求</w:t>
          </w:r>
          <w:r>
            <w:tab/>
          </w:r>
          <w:r>
            <w:fldChar w:fldCharType="begin"/>
          </w:r>
          <w:r>
            <w:instrText xml:space="preserve"> PAGEREF _Toc3896826 \h </w:instrText>
          </w:r>
          <w:r>
            <w:fldChar w:fldCharType="separate"/>
          </w:r>
          <w:r>
            <w:t>176</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"_Toc3896827" </w:instrText>
          </w:r>
          <w:r>
            <w:fldChar w:fldCharType="separate"/>
          </w:r>
          <w:r>
            <w:rPr>
              <w:rStyle w:val="28"/>
              <w:rFonts w:hint="eastAsia" w:ascii="仿宋" w:hAnsi="仿宋"/>
              <w:color w:val="auto"/>
            </w:rPr>
            <w:t>（十三）关于资产管理业务份额转让的要求</w:t>
          </w:r>
          <w:r>
            <w:tab/>
          </w:r>
          <w:r>
            <w:fldChar w:fldCharType="begin"/>
          </w:r>
          <w:r>
            <w:instrText xml:space="preserve"> PAGEREF _Toc3896827 \h </w:instrText>
          </w:r>
          <w:r>
            <w:fldChar w:fldCharType="separate"/>
          </w:r>
          <w:r>
            <w:t>177</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"_Toc3896828" </w:instrText>
          </w:r>
          <w:r>
            <w:fldChar w:fldCharType="separate"/>
          </w:r>
          <w:r>
            <w:rPr>
              <w:rStyle w:val="28"/>
              <w:rFonts w:hint="eastAsia" w:ascii="仿宋" w:hAnsi="仿宋"/>
              <w:color w:val="auto"/>
            </w:rPr>
            <w:t>（十四）关于资产管理业务人员的要求</w:t>
          </w:r>
          <w:r>
            <w:tab/>
          </w:r>
          <w:r>
            <w:fldChar w:fldCharType="begin"/>
          </w:r>
          <w:r>
            <w:instrText xml:space="preserve"> PAGEREF _Toc3896828 \h </w:instrText>
          </w:r>
          <w:r>
            <w:fldChar w:fldCharType="separate"/>
          </w:r>
          <w:r>
            <w:t>177</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"_Toc3896829" </w:instrText>
          </w:r>
          <w:r>
            <w:fldChar w:fldCharType="separate"/>
          </w:r>
          <w:r>
            <w:rPr>
              <w:rStyle w:val="28"/>
              <w:rFonts w:hint="eastAsia" w:ascii="仿宋" w:hAnsi="仿宋"/>
              <w:color w:val="auto"/>
            </w:rPr>
            <w:t>（十五）关于资产管理业务制度建立的要求</w:t>
          </w:r>
          <w:r>
            <w:tab/>
          </w:r>
          <w:r>
            <w:fldChar w:fldCharType="begin"/>
          </w:r>
          <w:r>
            <w:instrText xml:space="preserve"> PAGEREF _Toc3896829 \h </w:instrText>
          </w:r>
          <w:r>
            <w:fldChar w:fldCharType="separate"/>
          </w:r>
          <w:r>
            <w:t>177</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"_Toc3896830" </w:instrText>
          </w:r>
          <w:r>
            <w:fldChar w:fldCharType="separate"/>
          </w:r>
          <w:r>
            <w:rPr>
              <w:rStyle w:val="28"/>
              <w:rFonts w:hint="eastAsia" w:ascii="仿宋" w:hAnsi="仿宋"/>
              <w:color w:val="auto"/>
            </w:rPr>
            <w:t>（十六）关于资产管理业务中自有资金投资的要求</w:t>
          </w:r>
          <w:r>
            <w:tab/>
          </w:r>
          <w:r>
            <w:fldChar w:fldCharType="begin"/>
          </w:r>
          <w:r>
            <w:instrText xml:space="preserve"> PAGEREF _Toc3896830 \h </w:instrText>
          </w:r>
          <w:r>
            <w:fldChar w:fldCharType="separate"/>
          </w:r>
          <w:r>
            <w:t>180</w:t>
          </w:r>
          <w:r>
            <w:fldChar w:fldCharType="end"/>
          </w:r>
          <w:r>
            <w:fldChar w:fldCharType="end"/>
          </w:r>
        </w:p>
        <w:p>
          <w:pPr>
            <w:pStyle w:val="19"/>
            <w:tabs>
              <w:tab w:val="right" w:leader="dot" w:pos="8296"/>
            </w:tabs>
            <w:ind w:left="480"/>
            <w:rPr>
              <w:rFonts w:asciiTheme="minorHAnsi" w:hAnsiTheme="minorHAnsi" w:eastAsiaTheme="minorEastAsia" w:cstheme="minorBidi"/>
              <w:sz w:val="21"/>
              <w:szCs w:val="22"/>
            </w:rPr>
          </w:pPr>
          <w:r>
            <w:fldChar w:fldCharType="begin"/>
          </w:r>
          <w:r>
            <w:instrText xml:space="preserve"> HYPERLINK \l "_Toc3896831" </w:instrText>
          </w:r>
          <w:r>
            <w:fldChar w:fldCharType="separate"/>
          </w:r>
          <w:r>
            <w:rPr>
              <w:rStyle w:val="28"/>
              <w:rFonts w:hint="eastAsia"/>
              <w:color w:val="auto"/>
            </w:rPr>
            <w:t>十三、关于投资咨询业务</w:t>
          </w:r>
          <w:r>
            <w:tab/>
          </w:r>
          <w:r>
            <w:fldChar w:fldCharType="begin"/>
          </w:r>
          <w:r>
            <w:instrText xml:space="preserve"> PAGEREF _Toc3896831 \h </w:instrText>
          </w:r>
          <w:r>
            <w:fldChar w:fldCharType="separate"/>
          </w:r>
          <w:r>
            <w:t>180</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"_Toc3896832" </w:instrText>
          </w:r>
          <w:r>
            <w:fldChar w:fldCharType="separate"/>
          </w:r>
          <w:r>
            <w:rPr>
              <w:rStyle w:val="28"/>
              <w:rFonts w:hint="eastAsia" w:ascii="仿宋" w:hAnsi="仿宋"/>
              <w:color w:val="auto"/>
              <w:kern w:val="0"/>
            </w:rPr>
            <w:t>（一）</w:t>
          </w:r>
          <w:r>
            <w:rPr>
              <w:rStyle w:val="28"/>
              <w:rFonts w:hint="eastAsia"/>
              <w:color w:val="auto"/>
            </w:rPr>
            <w:t>投资咨询业务的业务特点和类型；</w:t>
          </w:r>
          <w:r>
            <w:tab/>
          </w:r>
          <w:r>
            <w:fldChar w:fldCharType="begin"/>
          </w:r>
          <w:r>
            <w:instrText xml:space="preserve"> PAGEREF _Toc3896832 \h </w:instrText>
          </w:r>
          <w:r>
            <w:fldChar w:fldCharType="separate"/>
          </w:r>
          <w:r>
            <w:t>181</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"_Toc3896833" </w:instrText>
          </w:r>
          <w:r>
            <w:fldChar w:fldCharType="separate"/>
          </w:r>
          <w:r>
            <w:rPr>
              <w:rStyle w:val="28"/>
              <w:rFonts w:hint="eastAsia" w:ascii="仿宋" w:hAnsi="仿宋"/>
              <w:color w:val="auto"/>
              <w:kern w:val="0"/>
            </w:rPr>
            <w:t>（二）</w:t>
          </w:r>
          <w:r>
            <w:rPr>
              <w:rStyle w:val="28"/>
              <w:rFonts w:hint="eastAsia"/>
              <w:color w:val="auto"/>
            </w:rPr>
            <w:t>开展投资咨询业务的合规原则；</w:t>
          </w:r>
          <w:r>
            <w:tab/>
          </w:r>
          <w:r>
            <w:fldChar w:fldCharType="begin"/>
          </w:r>
          <w:r>
            <w:instrText xml:space="preserve"> PAGEREF _Toc3896833 \h </w:instrText>
          </w:r>
          <w:r>
            <w:fldChar w:fldCharType="separate"/>
          </w:r>
          <w:r>
            <w:t>181</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"_Toc3896834" </w:instrText>
          </w:r>
          <w:r>
            <w:fldChar w:fldCharType="separate"/>
          </w:r>
          <w:r>
            <w:rPr>
              <w:rStyle w:val="28"/>
              <w:rFonts w:hint="eastAsia" w:ascii="仿宋" w:hAnsi="仿宋"/>
              <w:color w:val="auto"/>
              <w:kern w:val="0"/>
            </w:rPr>
            <w:t>（三）</w:t>
          </w:r>
          <w:r>
            <w:rPr>
              <w:rStyle w:val="28"/>
              <w:rFonts w:hint="eastAsia"/>
              <w:color w:val="auto"/>
            </w:rPr>
            <w:t>对投资咨询业务客户尽职调查内容和适当性评估原则、风险揭示要求；</w:t>
          </w:r>
          <w:r>
            <w:tab/>
          </w:r>
          <w:r>
            <w:fldChar w:fldCharType="begin"/>
          </w:r>
          <w:r>
            <w:instrText xml:space="preserve"> PAGEREF _Toc3896834 \h </w:instrText>
          </w:r>
          <w:r>
            <w:fldChar w:fldCharType="separate"/>
          </w:r>
          <w:r>
            <w:t>182</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"_Toc3896835" </w:instrText>
          </w:r>
          <w:r>
            <w:fldChar w:fldCharType="separate"/>
          </w:r>
          <w:r>
            <w:rPr>
              <w:rStyle w:val="28"/>
              <w:rFonts w:hint="eastAsia" w:ascii="仿宋" w:hAnsi="仿宋"/>
              <w:color w:val="auto"/>
              <w:kern w:val="0"/>
            </w:rPr>
            <w:t>（四）</w:t>
          </w:r>
          <w:r>
            <w:rPr>
              <w:rStyle w:val="28"/>
              <w:rFonts w:hint="eastAsia"/>
              <w:color w:val="auto"/>
            </w:rPr>
            <w:t>公司应当与客户签订期货投资咨询服务合同的要求；</w:t>
          </w:r>
          <w:r>
            <w:tab/>
          </w:r>
          <w:r>
            <w:fldChar w:fldCharType="begin"/>
          </w:r>
          <w:r>
            <w:instrText xml:space="preserve"> PAGEREF _Toc3896835 \h </w:instrText>
          </w:r>
          <w:r>
            <w:fldChar w:fldCharType="separate"/>
          </w:r>
          <w:r>
            <w:t>182</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"_Toc3896836" </w:instrText>
          </w:r>
          <w:r>
            <w:fldChar w:fldCharType="separate"/>
          </w:r>
          <w:r>
            <w:rPr>
              <w:rStyle w:val="28"/>
              <w:rFonts w:hint="eastAsia" w:ascii="仿宋" w:hAnsi="仿宋"/>
              <w:color w:val="auto"/>
              <w:kern w:val="0"/>
            </w:rPr>
            <w:t>（五）</w:t>
          </w:r>
          <w:r>
            <w:rPr>
              <w:rStyle w:val="28"/>
              <w:rFonts w:hint="eastAsia"/>
              <w:color w:val="auto"/>
            </w:rPr>
            <w:t>研究分析服务的注意事项和掌握防止研究报告被不当利用的措施；</w:t>
          </w:r>
          <w:r>
            <w:tab/>
          </w:r>
          <w:r>
            <w:fldChar w:fldCharType="begin"/>
          </w:r>
          <w:r>
            <w:instrText xml:space="preserve"> PAGEREF _Toc3896836 \h </w:instrText>
          </w:r>
          <w:r>
            <w:fldChar w:fldCharType="separate"/>
          </w:r>
          <w:r>
            <w:t>182</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"_Toc3896837" </w:instrText>
          </w:r>
          <w:r>
            <w:fldChar w:fldCharType="separate"/>
          </w:r>
          <w:r>
            <w:rPr>
              <w:rStyle w:val="28"/>
              <w:rFonts w:hint="eastAsia" w:ascii="仿宋" w:hAnsi="仿宋"/>
              <w:color w:val="auto"/>
              <w:kern w:val="0"/>
            </w:rPr>
            <w:t>（六）</w:t>
          </w:r>
          <w:r>
            <w:rPr>
              <w:rStyle w:val="28"/>
              <w:rFonts w:hint="eastAsia"/>
              <w:color w:val="auto"/>
            </w:rPr>
            <w:t>研究报告应载明事项和风险提示；</w:t>
          </w:r>
          <w:r>
            <w:tab/>
          </w:r>
          <w:r>
            <w:fldChar w:fldCharType="begin"/>
          </w:r>
          <w:r>
            <w:instrText xml:space="preserve"> PAGEREF _Toc3896837 \h </w:instrText>
          </w:r>
          <w:r>
            <w:fldChar w:fldCharType="separate"/>
          </w:r>
          <w:r>
            <w:t>182</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"_Toc3896838" </w:instrText>
          </w:r>
          <w:r>
            <w:fldChar w:fldCharType="separate"/>
          </w:r>
          <w:r>
            <w:rPr>
              <w:rStyle w:val="28"/>
              <w:rFonts w:hint="eastAsia" w:ascii="仿宋" w:hAnsi="仿宋"/>
              <w:color w:val="auto"/>
              <w:kern w:val="0"/>
            </w:rPr>
            <w:t>（七）</w:t>
          </w:r>
          <w:r>
            <w:rPr>
              <w:rStyle w:val="28"/>
              <w:rFonts w:hint="eastAsia"/>
              <w:color w:val="auto"/>
            </w:rPr>
            <w:t>期货公司交易咨询服务的规则；</w:t>
          </w:r>
          <w:r>
            <w:tab/>
          </w:r>
          <w:r>
            <w:fldChar w:fldCharType="begin"/>
          </w:r>
          <w:r>
            <w:instrText xml:space="preserve"> PAGEREF _Toc3896838 \h </w:instrText>
          </w:r>
          <w:r>
            <w:fldChar w:fldCharType="separate"/>
          </w:r>
          <w:r>
            <w:t>183</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"_Toc3896839" </w:instrText>
          </w:r>
          <w:r>
            <w:fldChar w:fldCharType="separate"/>
          </w:r>
          <w:r>
            <w:rPr>
              <w:rStyle w:val="28"/>
              <w:rFonts w:hint="eastAsia" w:ascii="仿宋" w:hAnsi="仿宋"/>
              <w:color w:val="auto"/>
              <w:kern w:val="0"/>
            </w:rPr>
            <w:t>（八）</w:t>
          </w:r>
          <w:r>
            <w:rPr>
              <w:rStyle w:val="28"/>
              <w:rFonts w:hint="eastAsia"/>
              <w:color w:val="auto"/>
            </w:rPr>
            <w:t>以交易软件、终端设备为载体开展交易咨询业务的规则；</w:t>
          </w:r>
          <w:r>
            <w:tab/>
          </w:r>
          <w:r>
            <w:fldChar w:fldCharType="begin"/>
          </w:r>
          <w:r>
            <w:instrText xml:space="preserve"> PAGEREF _Toc3896839 \h </w:instrText>
          </w:r>
          <w:r>
            <w:fldChar w:fldCharType="separate"/>
          </w:r>
          <w:r>
            <w:t>183</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"_Toc3896840" </w:instrText>
          </w:r>
          <w:r>
            <w:fldChar w:fldCharType="separate"/>
          </w:r>
          <w:r>
            <w:rPr>
              <w:rStyle w:val="28"/>
              <w:rFonts w:hint="eastAsia" w:ascii="仿宋" w:hAnsi="仿宋"/>
              <w:color w:val="auto"/>
              <w:kern w:val="0"/>
            </w:rPr>
            <w:t>（九）</w:t>
          </w:r>
          <w:r>
            <w:rPr>
              <w:rStyle w:val="28"/>
              <w:rFonts w:hint="eastAsia"/>
              <w:color w:val="auto"/>
            </w:rPr>
            <w:t>投资咨询业务和其他业务的防范利益冲突的要求和信息隔离机制，常用的信息隔离方法；</w:t>
          </w:r>
          <w:r>
            <w:tab/>
          </w:r>
          <w:r>
            <w:fldChar w:fldCharType="begin"/>
          </w:r>
          <w:r>
            <w:instrText xml:space="preserve"> PAGEREF _Toc3896840 \h </w:instrText>
          </w:r>
          <w:r>
            <w:fldChar w:fldCharType="separate"/>
          </w:r>
          <w:r>
            <w:t>183</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"_Toc3896841" </w:instrText>
          </w:r>
          <w:r>
            <w:fldChar w:fldCharType="separate"/>
          </w:r>
          <w:r>
            <w:rPr>
              <w:rStyle w:val="28"/>
              <w:rFonts w:hint="eastAsia" w:ascii="仿宋" w:hAnsi="仿宋"/>
              <w:color w:val="auto"/>
              <w:kern w:val="0"/>
            </w:rPr>
            <w:t>（十）</w:t>
          </w:r>
          <w:r>
            <w:rPr>
              <w:rStyle w:val="28"/>
              <w:rFonts w:hint="eastAsia"/>
              <w:color w:val="auto"/>
            </w:rPr>
            <w:t>投资咨询业务的部门设置要求和公司统一管理要求；</w:t>
          </w:r>
          <w:r>
            <w:tab/>
          </w:r>
          <w:r>
            <w:fldChar w:fldCharType="begin"/>
          </w:r>
          <w:r>
            <w:instrText xml:space="preserve"> PAGEREF _Toc3896841 \h </w:instrText>
          </w:r>
          <w:r>
            <w:fldChar w:fldCharType="separate"/>
          </w:r>
          <w:r>
            <w:t>184</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"_Toc3896842" </w:instrText>
          </w:r>
          <w:r>
            <w:fldChar w:fldCharType="separate"/>
          </w:r>
          <w:r>
            <w:rPr>
              <w:rStyle w:val="28"/>
              <w:rFonts w:hint="eastAsia" w:ascii="仿宋" w:hAnsi="仿宋"/>
              <w:color w:val="auto"/>
              <w:kern w:val="0"/>
            </w:rPr>
            <w:t>（十一）</w:t>
          </w:r>
          <w:r>
            <w:rPr>
              <w:rStyle w:val="28"/>
              <w:rFonts w:hint="eastAsia"/>
              <w:color w:val="auto"/>
            </w:rPr>
            <w:t>投资咨询业务以公司名义开展的要求；</w:t>
          </w:r>
          <w:r>
            <w:tab/>
          </w:r>
          <w:r>
            <w:fldChar w:fldCharType="begin"/>
          </w:r>
          <w:r>
            <w:instrText xml:space="preserve"> PAGEREF _Toc3896842 \h </w:instrText>
          </w:r>
          <w:r>
            <w:fldChar w:fldCharType="separate"/>
          </w:r>
          <w:r>
            <w:t>184</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"_Toc3896843" </w:instrText>
          </w:r>
          <w:r>
            <w:fldChar w:fldCharType="separate"/>
          </w:r>
          <w:r>
            <w:rPr>
              <w:rStyle w:val="28"/>
              <w:rFonts w:hint="eastAsia" w:ascii="仿宋" w:hAnsi="仿宋"/>
              <w:color w:val="auto"/>
              <w:kern w:val="0"/>
            </w:rPr>
            <w:t>（十二）</w:t>
          </w:r>
          <w:r>
            <w:rPr>
              <w:rStyle w:val="28"/>
              <w:rFonts w:hint="eastAsia"/>
              <w:color w:val="auto"/>
            </w:rPr>
            <w:t>投资咨询业务人员不得兼任岗位的要求；</w:t>
          </w:r>
          <w:r>
            <w:tab/>
          </w:r>
          <w:r>
            <w:fldChar w:fldCharType="begin"/>
          </w:r>
          <w:r>
            <w:instrText xml:space="preserve"> PAGEREF _Toc3896843 \h </w:instrText>
          </w:r>
          <w:r>
            <w:fldChar w:fldCharType="separate"/>
          </w:r>
          <w:r>
            <w:t>184</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"_Toc3896844" </w:instrText>
          </w:r>
          <w:r>
            <w:fldChar w:fldCharType="separate"/>
          </w:r>
          <w:r>
            <w:rPr>
              <w:rStyle w:val="28"/>
              <w:rFonts w:hint="eastAsia" w:ascii="仿宋" w:hAnsi="仿宋"/>
              <w:color w:val="auto"/>
              <w:kern w:val="0"/>
            </w:rPr>
            <w:t>（十三）</w:t>
          </w:r>
          <w:r>
            <w:rPr>
              <w:rStyle w:val="28"/>
              <w:rFonts w:hint="eastAsia"/>
              <w:color w:val="auto"/>
            </w:rPr>
            <w:t>首风季报年报对投资咨询业务的检查内容和重点；</w:t>
          </w:r>
          <w:r>
            <w:tab/>
          </w:r>
          <w:r>
            <w:fldChar w:fldCharType="begin"/>
          </w:r>
          <w:r>
            <w:instrText xml:space="preserve"> PAGEREF _Toc3896844 \h </w:instrText>
          </w:r>
          <w:r>
            <w:fldChar w:fldCharType="separate"/>
          </w:r>
          <w:r>
            <w:t>184</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"_Toc3896845" </w:instrText>
          </w:r>
          <w:r>
            <w:fldChar w:fldCharType="separate"/>
          </w:r>
          <w:r>
            <w:rPr>
              <w:rStyle w:val="28"/>
              <w:rFonts w:hint="eastAsia" w:ascii="仿宋" w:hAnsi="仿宋"/>
              <w:color w:val="auto"/>
              <w:kern w:val="0"/>
            </w:rPr>
            <w:t>（十四）</w:t>
          </w:r>
          <w:r>
            <w:rPr>
              <w:rStyle w:val="28"/>
              <w:rFonts w:hint="eastAsia"/>
              <w:color w:val="auto"/>
            </w:rPr>
            <w:t>期货公司或其从业人员可能被处罚的违规行为；</w:t>
          </w:r>
          <w:r>
            <w:tab/>
          </w:r>
          <w:r>
            <w:fldChar w:fldCharType="begin"/>
          </w:r>
          <w:r>
            <w:instrText xml:space="preserve"> PAGEREF _Toc3896845 \h </w:instrText>
          </w:r>
          <w:r>
            <w:fldChar w:fldCharType="separate"/>
          </w:r>
          <w:r>
            <w:t>184</w:t>
          </w:r>
          <w:r>
            <w:fldChar w:fldCharType="end"/>
          </w:r>
          <w:r>
            <w:fldChar w:fldCharType="end"/>
          </w:r>
        </w:p>
        <w:p>
          <w:pPr>
            <w:pStyle w:val="19"/>
            <w:tabs>
              <w:tab w:val="right" w:leader="dot" w:pos="8296"/>
            </w:tabs>
            <w:ind w:left="480"/>
            <w:rPr>
              <w:rFonts w:asciiTheme="minorHAnsi" w:hAnsiTheme="minorHAnsi" w:eastAsiaTheme="minorEastAsia" w:cstheme="minorBidi"/>
              <w:sz w:val="21"/>
              <w:szCs w:val="22"/>
            </w:rPr>
          </w:pPr>
          <w:r>
            <w:fldChar w:fldCharType="begin"/>
          </w:r>
          <w:r>
            <w:instrText xml:space="preserve"> HYPERLINK \l "_Toc3896846" </w:instrText>
          </w:r>
          <w:r>
            <w:fldChar w:fldCharType="separate"/>
          </w:r>
          <w:r>
            <w:rPr>
              <w:rStyle w:val="28"/>
              <w:rFonts w:hint="eastAsia"/>
              <w:color w:val="auto"/>
            </w:rPr>
            <w:t>十四、关于从业人员管理</w:t>
          </w:r>
          <w:r>
            <w:tab/>
          </w:r>
          <w:r>
            <w:fldChar w:fldCharType="begin"/>
          </w:r>
          <w:r>
            <w:instrText xml:space="preserve"> PAGEREF _Toc3896846 \h </w:instrText>
          </w:r>
          <w:r>
            <w:fldChar w:fldCharType="separate"/>
          </w:r>
          <w:r>
            <w:t>185</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"_Toc3896847" </w:instrText>
          </w:r>
          <w:r>
            <w:fldChar w:fldCharType="separate"/>
          </w:r>
          <w:r>
            <w:rPr>
              <w:rStyle w:val="28"/>
              <w:rFonts w:hint="eastAsia" w:ascii="仿宋" w:hAnsi="仿宋"/>
              <w:color w:val="auto"/>
              <w:kern w:val="0"/>
            </w:rPr>
            <w:t>（一）</w:t>
          </w:r>
          <w:r>
            <w:rPr>
              <w:rStyle w:val="28"/>
              <w:rFonts w:hint="eastAsia"/>
              <w:color w:val="auto"/>
            </w:rPr>
            <w:t>期货从业人员的范围</w:t>
          </w:r>
          <w:r>
            <w:tab/>
          </w:r>
          <w:r>
            <w:fldChar w:fldCharType="begin"/>
          </w:r>
          <w:r>
            <w:instrText xml:space="preserve"> PAGEREF _Toc3896847 \h </w:instrText>
          </w:r>
          <w:r>
            <w:fldChar w:fldCharType="separate"/>
          </w:r>
          <w:r>
            <w:t>185</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"_Toc3896848" </w:instrText>
          </w:r>
          <w:r>
            <w:fldChar w:fldCharType="separate"/>
          </w:r>
          <w:r>
            <w:rPr>
              <w:rStyle w:val="28"/>
              <w:rFonts w:hint="eastAsia" w:ascii="仿宋" w:hAnsi="仿宋"/>
              <w:color w:val="auto"/>
              <w:kern w:val="0"/>
            </w:rPr>
            <w:t>（二）</w:t>
          </w:r>
          <w:r>
            <w:rPr>
              <w:rStyle w:val="28"/>
              <w:rFonts w:hint="eastAsia"/>
              <w:color w:val="auto"/>
            </w:rPr>
            <w:t>期货从业人员资格申请条件及机构不得任用无资格人员的规定</w:t>
          </w:r>
          <w:r>
            <w:tab/>
          </w:r>
          <w:r>
            <w:fldChar w:fldCharType="begin"/>
          </w:r>
          <w:r>
            <w:instrText xml:space="preserve"> PAGEREF _Toc3896848 \h </w:instrText>
          </w:r>
          <w:r>
            <w:fldChar w:fldCharType="separate"/>
          </w:r>
          <w:r>
            <w:t>186</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"_Toc3896849" </w:instrText>
          </w:r>
          <w:r>
            <w:fldChar w:fldCharType="separate"/>
          </w:r>
          <w:r>
            <w:rPr>
              <w:rStyle w:val="28"/>
              <w:rFonts w:hint="eastAsia" w:ascii="仿宋" w:hAnsi="仿宋"/>
              <w:color w:val="auto"/>
              <w:kern w:val="0"/>
            </w:rPr>
            <w:t>（三）</w:t>
          </w:r>
          <w:r>
            <w:rPr>
              <w:rStyle w:val="28"/>
              <w:rFonts w:hint="eastAsia"/>
              <w:color w:val="auto"/>
            </w:rPr>
            <w:t>期货从业人员执业的总体性合规要求</w:t>
          </w:r>
          <w:r>
            <w:tab/>
          </w:r>
          <w:r>
            <w:fldChar w:fldCharType="begin"/>
          </w:r>
          <w:r>
            <w:instrText xml:space="preserve"> PAGEREF _Toc3896849 \h </w:instrText>
          </w:r>
          <w:r>
            <w:fldChar w:fldCharType="separate"/>
          </w:r>
          <w:r>
            <w:t>186</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"_Toc3896850" </w:instrText>
          </w:r>
          <w:r>
            <w:fldChar w:fldCharType="separate"/>
          </w:r>
          <w:r>
            <w:rPr>
              <w:rStyle w:val="28"/>
              <w:rFonts w:hint="eastAsia" w:ascii="仿宋" w:hAnsi="仿宋"/>
              <w:color w:val="auto"/>
              <w:kern w:val="0"/>
            </w:rPr>
            <w:t>（四）</w:t>
          </w:r>
          <w:r>
            <w:rPr>
              <w:rStyle w:val="28"/>
              <w:rFonts w:hint="eastAsia"/>
              <w:color w:val="auto"/>
            </w:rPr>
            <w:t>期货从业人员的执业规范</w:t>
          </w:r>
          <w:r>
            <w:tab/>
          </w:r>
          <w:r>
            <w:fldChar w:fldCharType="begin"/>
          </w:r>
          <w:r>
            <w:instrText xml:space="preserve"> PAGEREF _Toc3896850 \h </w:instrText>
          </w:r>
          <w:r>
            <w:fldChar w:fldCharType="separate"/>
          </w:r>
          <w:r>
            <w:t>186</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"_Toc3896851" </w:instrText>
          </w:r>
          <w:r>
            <w:fldChar w:fldCharType="separate"/>
          </w:r>
          <w:r>
            <w:rPr>
              <w:rStyle w:val="28"/>
              <w:rFonts w:hint="eastAsia" w:ascii="仿宋" w:hAnsi="仿宋"/>
              <w:color w:val="auto"/>
              <w:kern w:val="0"/>
            </w:rPr>
            <w:t>（五）</w:t>
          </w:r>
          <w:r>
            <w:rPr>
              <w:rStyle w:val="28"/>
              <w:rFonts w:hint="eastAsia"/>
              <w:color w:val="auto"/>
            </w:rPr>
            <w:t>期货公司从业人员的禁止行为</w:t>
          </w:r>
          <w:r>
            <w:tab/>
          </w:r>
          <w:r>
            <w:fldChar w:fldCharType="begin"/>
          </w:r>
          <w:r>
            <w:instrText xml:space="preserve"> PAGEREF _Toc3896851 \h </w:instrText>
          </w:r>
          <w:r>
            <w:fldChar w:fldCharType="separate"/>
          </w:r>
          <w:r>
            <w:t>187</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"_Toc3896852" </w:instrText>
          </w:r>
          <w:r>
            <w:fldChar w:fldCharType="separate"/>
          </w:r>
          <w:r>
            <w:rPr>
              <w:rStyle w:val="28"/>
              <w:rFonts w:hint="eastAsia" w:ascii="仿宋" w:hAnsi="仿宋"/>
              <w:color w:val="auto"/>
              <w:kern w:val="0"/>
            </w:rPr>
            <w:t>（六）</w:t>
          </w:r>
          <w:r>
            <w:rPr>
              <w:rStyle w:val="28"/>
              <w:rFonts w:hint="eastAsia"/>
              <w:color w:val="auto"/>
            </w:rPr>
            <w:t>期货投资咨询机构的期货从业人员的禁止行为</w:t>
          </w:r>
          <w:r>
            <w:tab/>
          </w:r>
          <w:r>
            <w:fldChar w:fldCharType="begin"/>
          </w:r>
          <w:r>
            <w:instrText xml:space="preserve"> PAGEREF _Toc3896852 \h </w:instrText>
          </w:r>
          <w:r>
            <w:fldChar w:fldCharType="separate"/>
          </w:r>
          <w:r>
            <w:t>187</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"_Toc3896853" </w:instrText>
          </w:r>
          <w:r>
            <w:fldChar w:fldCharType="separate"/>
          </w:r>
          <w:r>
            <w:rPr>
              <w:rStyle w:val="28"/>
              <w:rFonts w:hint="eastAsia" w:ascii="仿宋" w:hAnsi="仿宋"/>
              <w:color w:val="auto"/>
              <w:kern w:val="0"/>
            </w:rPr>
            <w:t>（七）</w:t>
          </w:r>
          <w:r>
            <w:rPr>
              <w:rStyle w:val="28"/>
              <w:rFonts w:hint="eastAsia"/>
              <w:color w:val="auto"/>
            </w:rPr>
            <w:t>为期货公司提供中间介绍业务的机构的期货从业人员的禁止行为</w:t>
          </w:r>
          <w:r>
            <w:tab/>
          </w:r>
          <w:r>
            <w:fldChar w:fldCharType="begin"/>
          </w:r>
          <w:r>
            <w:instrText xml:space="preserve"> PAGEREF _Toc3896853 \h </w:instrText>
          </w:r>
          <w:r>
            <w:fldChar w:fldCharType="separate"/>
          </w:r>
          <w:r>
            <w:t>187</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"_Toc3896854" </w:instrText>
          </w:r>
          <w:r>
            <w:fldChar w:fldCharType="separate"/>
          </w:r>
          <w:r>
            <w:rPr>
              <w:rStyle w:val="28"/>
              <w:rFonts w:hint="eastAsia" w:ascii="仿宋" w:hAnsi="仿宋"/>
              <w:color w:val="auto"/>
              <w:kern w:val="0"/>
            </w:rPr>
            <w:t>（八）</w:t>
          </w:r>
          <w:r>
            <w:rPr>
              <w:rStyle w:val="28"/>
              <w:rFonts w:hint="eastAsia"/>
              <w:color w:val="auto"/>
            </w:rPr>
            <w:t>期货从业人员执业行为准则的内容涉及的主要方面和重要性</w:t>
          </w:r>
          <w:r>
            <w:tab/>
          </w:r>
          <w:r>
            <w:fldChar w:fldCharType="begin"/>
          </w:r>
          <w:r>
            <w:instrText xml:space="preserve"> PAGEREF _Toc3896854 \h </w:instrText>
          </w:r>
          <w:r>
            <w:fldChar w:fldCharType="separate"/>
          </w:r>
          <w:r>
            <w:t>188</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"_Toc3896855" </w:instrText>
          </w:r>
          <w:r>
            <w:fldChar w:fldCharType="separate"/>
          </w:r>
          <w:r>
            <w:rPr>
              <w:rStyle w:val="28"/>
              <w:rFonts w:hint="eastAsia" w:ascii="仿宋" w:hAnsi="仿宋"/>
              <w:color w:val="auto"/>
              <w:kern w:val="0"/>
            </w:rPr>
            <w:t>（九）</w:t>
          </w:r>
          <w:r>
            <w:rPr>
              <w:rStyle w:val="28"/>
              <w:rFonts w:hint="eastAsia"/>
              <w:color w:val="auto"/>
            </w:rPr>
            <w:t>期货从业人员执业的基本准则，包括但不限于合法合规、诚信、专业、保密、防范利益冲突及公平对待投资者</w:t>
          </w:r>
          <w:r>
            <w:tab/>
          </w:r>
          <w:r>
            <w:fldChar w:fldCharType="begin"/>
          </w:r>
          <w:r>
            <w:instrText xml:space="preserve"> PAGEREF _Toc3896855 \h </w:instrText>
          </w:r>
          <w:r>
            <w:fldChar w:fldCharType="separate"/>
          </w:r>
          <w:r>
            <w:t>188</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"_Toc3896856" </w:instrText>
          </w:r>
          <w:r>
            <w:fldChar w:fldCharType="separate"/>
          </w:r>
          <w:r>
            <w:rPr>
              <w:rStyle w:val="28"/>
              <w:rFonts w:hint="eastAsia" w:ascii="仿宋" w:hAnsi="仿宋"/>
              <w:color w:val="auto"/>
              <w:kern w:val="0"/>
            </w:rPr>
            <w:t>（十）</w:t>
          </w:r>
          <w:r>
            <w:rPr>
              <w:rStyle w:val="28"/>
              <w:rFonts w:hint="eastAsia"/>
              <w:color w:val="auto"/>
            </w:rPr>
            <w:t>期货从业人员的竞业准则，包括但不限于提倡公平竞争，不正当竞争的具体情形，不正当招徕其他经营机构的从业人员等；</w:t>
          </w:r>
          <w:r>
            <w:tab/>
          </w:r>
          <w:r>
            <w:fldChar w:fldCharType="begin"/>
          </w:r>
          <w:r>
            <w:instrText xml:space="preserve"> PAGEREF _Toc3896856 \h </w:instrText>
          </w:r>
          <w:r>
            <w:fldChar w:fldCharType="separate"/>
          </w:r>
          <w:r>
            <w:t>188</w:t>
          </w:r>
          <w:r>
            <w:fldChar w:fldCharType="end"/>
          </w:r>
          <w:r>
            <w:fldChar w:fldCharType="end"/>
          </w:r>
        </w:p>
        <w:p>
          <w:pPr>
            <w:pStyle w:val="19"/>
            <w:tabs>
              <w:tab w:val="right" w:leader="dot" w:pos="8296"/>
            </w:tabs>
            <w:ind w:left="480"/>
            <w:rPr>
              <w:rFonts w:asciiTheme="minorHAnsi" w:hAnsiTheme="minorHAnsi" w:eastAsiaTheme="minorEastAsia" w:cstheme="minorBidi"/>
              <w:sz w:val="21"/>
              <w:szCs w:val="22"/>
            </w:rPr>
          </w:pPr>
          <w:r>
            <w:fldChar w:fldCharType="begin"/>
          </w:r>
          <w:r>
            <w:instrText xml:space="preserve"> HYPERLINK \l "_Toc3896857" </w:instrText>
          </w:r>
          <w:r>
            <w:fldChar w:fldCharType="separate"/>
          </w:r>
          <w:r>
            <w:rPr>
              <w:rStyle w:val="28"/>
              <w:rFonts w:hint="eastAsia"/>
              <w:color w:val="auto"/>
            </w:rPr>
            <w:t>十五、关于信息隔离墙</w:t>
          </w:r>
          <w:r>
            <w:tab/>
          </w:r>
          <w:r>
            <w:fldChar w:fldCharType="begin"/>
          </w:r>
          <w:r>
            <w:instrText xml:space="preserve"> PAGEREF _Toc3896857 \h </w:instrText>
          </w:r>
          <w:r>
            <w:fldChar w:fldCharType="separate"/>
          </w:r>
          <w:r>
            <w:t>189</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"_Toc3896858" </w:instrText>
          </w:r>
          <w:r>
            <w:fldChar w:fldCharType="separate"/>
          </w:r>
          <w:r>
            <w:rPr>
              <w:rStyle w:val="28"/>
              <w:rFonts w:hint="eastAsia"/>
              <w:color w:val="auto"/>
            </w:rPr>
            <w:t>（一）信息隔离墙制度的概念和应当覆盖的范围，知道敏感信息的概念；</w:t>
          </w:r>
          <w:r>
            <w:tab/>
          </w:r>
          <w:r>
            <w:fldChar w:fldCharType="begin"/>
          </w:r>
          <w:r>
            <w:instrText xml:space="preserve"> PAGEREF _Toc3896858 \h </w:instrText>
          </w:r>
          <w:r>
            <w:fldChar w:fldCharType="separate"/>
          </w:r>
          <w:r>
            <w:t>189</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"_Toc3896859" </w:instrText>
          </w:r>
          <w:r>
            <w:fldChar w:fldCharType="separate"/>
          </w:r>
          <w:r>
            <w:rPr>
              <w:rStyle w:val="28"/>
              <w:rFonts w:hint="eastAsia"/>
              <w:color w:val="auto"/>
            </w:rPr>
            <w:t>（二）公司董事会、管理层对于信息隔离墙制度的责任；</w:t>
          </w:r>
          <w:r>
            <w:tab/>
          </w:r>
          <w:r>
            <w:fldChar w:fldCharType="begin"/>
          </w:r>
          <w:r>
            <w:instrText xml:space="preserve"> PAGEREF _Toc3896859 \h </w:instrText>
          </w:r>
          <w:r>
            <w:fldChar w:fldCharType="separate"/>
          </w:r>
          <w:r>
            <w:t>189</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"_Toc3896860" </w:instrText>
          </w:r>
          <w:r>
            <w:fldChar w:fldCharType="separate"/>
          </w:r>
          <w:r>
            <w:rPr>
              <w:rStyle w:val="28"/>
              <w:rFonts w:hint="eastAsia"/>
              <w:color w:val="auto"/>
            </w:rPr>
            <w:t>（三）利益冲突的管理顺序；</w:t>
          </w:r>
          <w:r>
            <w:tab/>
          </w:r>
          <w:r>
            <w:fldChar w:fldCharType="begin"/>
          </w:r>
          <w:r>
            <w:instrText xml:space="preserve"> PAGEREF _Toc3896860 \h </w:instrText>
          </w:r>
          <w:r>
            <w:fldChar w:fldCharType="separate"/>
          </w:r>
          <w:r>
            <w:t>189</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"_Toc3896861" </w:instrText>
          </w:r>
          <w:r>
            <w:fldChar w:fldCharType="separate"/>
          </w:r>
          <w:r>
            <w:rPr>
              <w:rStyle w:val="28"/>
              <w:rFonts w:hint="eastAsia"/>
              <w:color w:val="auto"/>
            </w:rPr>
            <w:t>（四）信息隔离墙的一般规定中于敏感信息管理原则、审批原则、防止不当利用原则；</w:t>
          </w:r>
          <w:r>
            <w:tab/>
          </w:r>
          <w:r>
            <w:fldChar w:fldCharType="begin"/>
          </w:r>
          <w:r>
            <w:instrText xml:space="preserve"> PAGEREF _Toc3896861 \h </w:instrText>
          </w:r>
          <w:r>
            <w:fldChar w:fldCharType="separate"/>
          </w:r>
          <w:r>
            <w:t>190</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"_Toc3896862" </w:instrText>
          </w:r>
          <w:r>
            <w:fldChar w:fldCharType="separate"/>
          </w:r>
          <w:r>
            <w:rPr>
              <w:rStyle w:val="28"/>
              <w:rFonts w:hint="eastAsia"/>
              <w:color w:val="auto"/>
            </w:rPr>
            <w:t>（五）信息隔离墙的一般规定中关于物理隔离的原则；</w:t>
          </w:r>
          <w:r>
            <w:tab/>
          </w:r>
          <w:r>
            <w:fldChar w:fldCharType="begin"/>
          </w:r>
          <w:r>
            <w:instrText xml:space="preserve"> PAGEREF _Toc3896862 \h </w:instrText>
          </w:r>
          <w:r>
            <w:fldChar w:fldCharType="separate"/>
          </w:r>
          <w:r>
            <w:t>190</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"_Toc3896863" </w:instrText>
          </w:r>
          <w:r>
            <w:fldChar w:fldCharType="separate"/>
          </w:r>
          <w:r>
            <w:rPr>
              <w:rStyle w:val="28"/>
              <w:rFonts w:hint="eastAsia"/>
              <w:color w:val="auto"/>
            </w:rPr>
            <w:t>（六）信息隔离墙的一般规定中关职责冲突的管理的原则；</w:t>
          </w:r>
          <w:r>
            <w:tab/>
          </w:r>
          <w:r>
            <w:fldChar w:fldCharType="begin"/>
          </w:r>
          <w:r>
            <w:instrText xml:space="preserve"> PAGEREF _Toc3896863 \h </w:instrText>
          </w:r>
          <w:r>
            <w:fldChar w:fldCharType="separate"/>
          </w:r>
          <w:r>
            <w:t>191</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"_Toc3896864" </w:instrText>
          </w:r>
          <w:r>
            <w:fldChar w:fldCharType="separate"/>
          </w:r>
          <w:r>
            <w:rPr>
              <w:rStyle w:val="28"/>
              <w:rFonts w:hint="eastAsia"/>
              <w:color w:val="auto"/>
            </w:rPr>
            <w:t>（七）利益冲突部门的证券、资金、账户分开管理原则</w:t>
          </w:r>
          <w:r>
            <w:rPr>
              <w:rStyle w:val="28"/>
              <w:color w:val="auto"/>
            </w:rPr>
            <w:t>;</w:t>
          </w:r>
          <w:r>
            <w:tab/>
          </w:r>
          <w:r>
            <w:fldChar w:fldCharType="begin"/>
          </w:r>
          <w:r>
            <w:instrText xml:space="preserve"> PAGEREF _Toc3896864 \h </w:instrText>
          </w:r>
          <w:r>
            <w:fldChar w:fldCharType="separate"/>
          </w:r>
          <w:r>
            <w:t>191</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"_Toc3896865" </w:instrText>
          </w:r>
          <w:r>
            <w:fldChar w:fldCharType="separate"/>
          </w:r>
          <w:r>
            <w:rPr>
              <w:rStyle w:val="28"/>
              <w:rFonts w:hint="eastAsia"/>
              <w:color w:val="auto"/>
            </w:rPr>
            <w:t>（八）可能出现利益冲突的业务、部门的判断方法及墙上人员的概念；</w:t>
          </w:r>
          <w:r>
            <w:tab/>
          </w:r>
          <w:r>
            <w:fldChar w:fldCharType="begin"/>
          </w:r>
          <w:r>
            <w:instrText xml:space="preserve"> PAGEREF _Toc3896865 \h </w:instrText>
          </w:r>
          <w:r>
            <w:fldChar w:fldCharType="separate"/>
          </w:r>
          <w:r>
            <w:t>191</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"_Toc3896866" </w:instrText>
          </w:r>
          <w:r>
            <w:fldChar w:fldCharType="separate"/>
          </w:r>
          <w:r>
            <w:rPr>
              <w:rStyle w:val="28"/>
              <w:rFonts w:hint="eastAsia"/>
              <w:color w:val="auto"/>
            </w:rPr>
            <w:t>（九）跨墙审批的程序和跨墙人员行为监督管理；</w:t>
          </w:r>
          <w:r>
            <w:tab/>
          </w:r>
          <w:r>
            <w:fldChar w:fldCharType="begin"/>
          </w:r>
          <w:r>
            <w:instrText xml:space="preserve"> PAGEREF _Toc3896866 \h </w:instrText>
          </w:r>
          <w:r>
            <w:fldChar w:fldCharType="separate"/>
          </w:r>
          <w:r>
            <w:t>192</w:t>
          </w:r>
          <w:r>
            <w:fldChar w:fldCharType="end"/>
          </w:r>
          <w:r>
            <w:fldChar w:fldCharType="end"/>
          </w:r>
        </w:p>
        <w:p>
          <w:pPr>
            <w:pStyle w:val="19"/>
            <w:tabs>
              <w:tab w:val="right" w:leader="dot" w:pos="8296"/>
            </w:tabs>
            <w:ind w:left="480"/>
            <w:rPr>
              <w:rFonts w:asciiTheme="minorHAnsi" w:hAnsiTheme="minorHAnsi" w:eastAsiaTheme="minorEastAsia" w:cstheme="minorBidi"/>
              <w:sz w:val="21"/>
              <w:szCs w:val="22"/>
            </w:rPr>
          </w:pPr>
          <w:r>
            <w:fldChar w:fldCharType="begin"/>
          </w:r>
          <w:r>
            <w:instrText xml:space="preserve"> HYPERLINK \l "_Toc3896867" </w:instrText>
          </w:r>
          <w:r>
            <w:fldChar w:fldCharType="separate"/>
          </w:r>
          <w:r>
            <w:rPr>
              <w:rStyle w:val="28"/>
              <w:rFonts w:hint="eastAsia"/>
              <w:color w:val="auto"/>
            </w:rPr>
            <w:t>十六、关于分类评价</w:t>
          </w:r>
          <w:r>
            <w:tab/>
          </w:r>
          <w:r>
            <w:fldChar w:fldCharType="begin"/>
          </w:r>
          <w:r>
            <w:instrText xml:space="preserve"> PAGEREF _Toc3896867 \h </w:instrText>
          </w:r>
          <w:r>
            <w:fldChar w:fldCharType="separate"/>
          </w:r>
          <w:r>
            <w:t>192</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"_Toc3896868" </w:instrText>
          </w:r>
          <w:r>
            <w:fldChar w:fldCharType="separate"/>
          </w:r>
          <w:r>
            <w:rPr>
              <w:rStyle w:val="28"/>
              <w:rFonts w:hint="eastAsia"/>
              <w:color w:val="auto"/>
            </w:rPr>
            <w:t>（一）分类评价的概念及四个维度；</w:t>
          </w:r>
          <w:r>
            <w:tab/>
          </w:r>
          <w:r>
            <w:fldChar w:fldCharType="begin"/>
          </w:r>
          <w:r>
            <w:instrText xml:space="preserve"> PAGEREF _Toc3896868 \h </w:instrText>
          </w:r>
          <w:r>
            <w:fldChar w:fldCharType="separate"/>
          </w:r>
          <w:r>
            <w:t>192</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"_Toc3896869" </w:instrText>
          </w:r>
          <w:r>
            <w:fldChar w:fldCharType="separate"/>
          </w:r>
          <w:r>
            <w:rPr>
              <w:rStyle w:val="28"/>
              <w:rFonts w:hint="eastAsia"/>
              <w:color w:val="auto"/>
            </w:rPr>
            <w:t>（二）分类评价的级别类型和含义；</w:t>
          </w:r>
          <w:r>
            <w:tab/>
          </w:r>
          <w:r>
            <w:fldChar w:fldCharType="begin"/>
          </w:r>
          <w:r>
            <w:instrText xml:space="preserve"> PAGEREF _Toc3896869 \h </w:instrText>
          </w:r>
          <w:r>
            <w:fldChar w:fldCharType="separate"/>
          </w:r>
          <w:r>
            <w:t>193</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"_Toc3896870" </w:instrText>
          </w:r>
          <w:r>
            <w:fldChar w:fldCharType="separate"/>
          </w:r>
          <w:r>
            <w:rPr>
              <w:rStyle w:val="28"/>
              <w:rFonts w:hint="eastAsia"/>
              <w:color w:val="auto"/>
            </w:rPr>
            <w:t>（三）分类评价中的严重违规行为和处罚措施；</w:t>
          </w:r>
          <w:r>
            <w:tab/>
          </w:r>
          <w:r>
            <w:fldChar w:fldCharType="begin"/>
          </w:r>
          <w:r>
            <w:instrText xml:space="preserve"> PAGEREF _Toc3896870 \h </w:instrText>
          </w:r>
          <w:r>
            <w:fldChar w:fldCharType="separate"/>
          </w:r>
          <w:r>
            <w:t>193</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"_Toc3896871" </w:instrText>
          </w:r>
          <w:r>
            <w:fldChar w:fldCharType="separate"/>
          </w:r>
          <w:r>
            <w:rPr>
              <w:rStyle w:val="28"/>
              <w:rFonts w:hint="eastAsia"/>
              <w:color w:val="auto"/>
            </w:rPr>
            <w:t>（四）分类评价结果的运用及禁止事项；</w:t>
          </w:r>
          <w:r>
            <w:tab/>
          </w:r>
          <w:r>
            <w:fldChar w:fldCharType="begin"/>
          </w:r>
          <w:r>
            <w:instrText xml:space="preserve"> PAGEREF _Toc3896871 \h </w:instrText>
          </w:r>
          <w:r>
            <w:fldChar w:fldCharType="separate"/>
          </w:r>
          <w:r>
            <w:t>193</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"_Toc3896872" </w:instrText>
          </w:r>
          <w:r>
            <w:fldChar w:fldCharType="separate"/>
          </w:r>
          <w:r>
            <w:rPr>
              <w:rStyle w:val="28"/>
              <w:rFonts w:hint="eastAsia"/>
              <w:color w:val="auto"/>
            </w:rPr>
            <w:t>（五）保证金监控中心重大预警和一般预警的区别；</w:t>
          </w:r>
          <w:r>
            <w:tab/>
          </w:r>
          <w:r>
            <w:fldChar w:fldCharType="begin"/>
          </w:r>
          <w:r>
            <w:instrText xml:space="preserve"> PAGEREF _Toc3896872 \h </w:instrText>
          </w:r>
          <w:r>
            <w:fldChar w:fldCharType="separate"/>
          </w:r>
          <w:r>
            <w:t>194</w:t>
          </w:r>
          <w:r>
            <w:fldChar w:fldCharType="end"/>
          </w:r>
          <w:r>
            <w:fldChar w:fldCharType="end"/>
          </w:r>
        </w:p>
        <w:p>
          <w:pPr>
            <w:pStyle w:val="15"/>
            <w:tabs>
              <w:tab w:val="left" w:pos="1260"/>
              <w:tab w:val="right" w:leader="dot" w:pos="8296"/>
            </w:tabs>
            <w:rPr>
              <w:rFonts w:asciiTheme="minorHAnsi" w:hAnsiTheme="minorHAnsi" w:eastAsiaTheme="minorEastAsia" w:cstheme="minorBidi"/>
              <w:sz w:val="21"/>
              <w:szCs w:val="22"/>
            </w:rPr>
          </w:pPr>
          <w:r>
            <w:fldChar w:fldCharType="begin"/>
          </w:r>
          <w:r>
            <w:instrText xml:space="preserve"> HYPERLINK \l "_Toc3896873" </w:instrText>
          </w:r>
          <w:r>
            <w:fldChar w:fldCharType="separate"/>
          </w:r>
          <w:r>
            <w:rPr>
              <w:rStyle w:val="28"/>
              <w:rFonts w:hint="eastAsia"/>
              <w:color w:val="auto"/>
            </w:rPr>
            <w:t>第四部分</w:t>
          </w:r>
          <w:r>
            <w:rPr>
              <w:rFonts w:asciiTheme="minorHAnsi" w:hAnsiTheme="minorHAnsi" w:eastAsiaTheme="minorEastAsia" w:cstheme="minorBidi"/>
              <w:sz w:val="21"/>
              <w:szCs w:val="22"/>
            </w:rPr>
            <w:tab/>
          </w:r>
          <w:r>
            <w:rPr>
              <w:rStyle w:val="28"/>
              <w:rFonts w:hint="eastAsia"/>
              <w:color w:val="auto"/>
            </w:rPr>
            <w:t>期货公司的风险管理与内控制度</w:t>
          </w:r>
          <w:r>
            <w:tab/>
          </w:r>
          <w:r>
            <w:fldChar w:fldCharType="begin"/>
          </w:r>
          <w:r>
            <w:instrText xml:space="preserve"> PAGEREF _Toc3896873 \h </w:instrText>
          </w:r>
          <w:r>
            <w:fldChar w:fldCharType="separate"/>
          </w:r>
          <w:r>
            <w:t>195</w:t>
          </w:r>
          <w:r>
            <w:fldChar w:fldCharType="end"/>
          </w:r>
          <w:r>
            <w:fldChar w:fldCharType="end"/>
          </w:r>
        </w:p>
        <w:p>
          <w:pPr>
            <w:pStyle w:val="19"/>
            <w:tabs>
              <w:tab w:val="right" w:leader="dot" w:pos="8296"/>
            </w:tabs>
            <w:ind w:left="480"/>
            <w:rPr>
              <w:rFonts w:asciiTheme="minorHAnsi" w:hAnsiTheme="minorHAnsi" w:eastAsiaTheme="minorEastAsia" w:cstheme="minorBidi"/>
              <w:sz w:val="21"/>
              <w:szCs w:val="22"/>
            </w:rPr>
          </w:pPr>
          <w:r>
            <w:fldChar w:fldCharType="begin"/>
          </w:r>
          <w:r>
            <w:instrText xml:space="preserve"> HYPERLINK \l "_Toc3896874" </w:instrText>
          </w:r>
          <w:r>
            <w:fldChar w:fldCharType="separate"/>
          </w:r>
          <w:r>
            <w:rPr>
              <w:rStyle w:val="28"/>
              <w:rFonts w:hint="eastAsia"/>
              <w:color w:val="auto"/>
            </w:rPr>
            <w:t>一、期货公司是高风险型企业</w:t>
          </w:r>
          <w:r>
            <w:tab/>
          </w:r>
          <w:r>
            <w:fldChar w:fldCharType="begin"/>
          </w:r>
          <w:r>
            <w:instrText xml:space="preserve"> PAGEREF _Toc3896874 \h </w:instrText>
          </w:r>
          <w:r>
            <w:fldChar w:fldCharType="separate"/>
          </w:r>
          <w:r>
            <w:t>195</w:t>
          </w:r>
          <w:r>
            <w:fldChar w:fldCharType="end"/>
          </w:r>
          <w:r>
            <w:fldChar w:fldCharType="end"/>
          </w:r>
        </w:p>
        <w:p>
          <w:pPr>
            <w:pStyle w:val="19"/>
            <w:tabs>
              <w:tab w:val="left" w:pos="1020"/>
              <w:tab w:val="right" w:leader="dot" w:pos="8296"/>
            </w:tabs>
            <w:ind w:left="480"/>
            <w:rPr>
              <w:rFonts w:asciiTheme="minorHAnsi" w:hAnsiTheme="minorHAnsi" w:eastAsiaTheme="minorEastAsia" w:cstheme="minorBidi"/>
              <w:sz w:val="21"/>
              <w:szCs w:val="22"/>
            </w:rPr>
          </w:pPr>
          <w:r>
            <w:fldChar w:fldCharType="begin"/>
          </w:r>
          <w:r>
            <w:instrText xml:space="preserve"> HYPERLINK \l "_Toc3896875" </w:instrText>
          </w:r>
          <w:r>
            <w:fldChar w:fldCharType="separate"/>
          </w:r>
          <w:r>
            <w:rPr>
              <w:rStyle w:val="28"/>
              <w:rFonts w:hint="eastAsia"/>
              <w:color w:val="auto"/>
            </w:rPr>
            <w:t>二、</w:t>
          </w:r>
          <w:r>
            <w:rPr>
              <w:rFonts w:asciiTheme="minorHAnsi" w:hAnsiTheme="minorHAnsi" w:eastAsiaTheme="minorEastAsia" w:cstheme="minorBidi"/>
              <w:sz w:val="21"/>
              <w:szCs w:val="22"/>
            </w:rPr>
            <w:tab/>
          </w:r>
          <w:r>
            <w:rPr>
              <w:rStyle w:val="28"/>
              <w:rFonts w:hint="eastAsia"/>
              <w:color w:val="auto"/>
            </w:rPr>
            <w:t>期货公司的主要风险类型</w:t>
          </w:r>
          <w:r>
            <w:tab/>
          </w:r>
          <w:r>
            <w:fldChar w:fldCharType="begin"/>
          </w:r>
          <w:r>
            <w:instrText xml:space="preserve"> PAGEREF _Toc3896875 \h </w:instrText>
          </w:r>
          <w:r>
            <w:fldChar w:fldCharType="separate"/>
          </w:r>
          <w:r>
            <w:t>195</w:t>
          </w:r>
          <w:r>
            <w:fldChar w:fldCharType="end"/>
          </w:r>
          <w:r>
            <w:fldChar w:fldCharType="end"/>
          </w:r>
        </w:p>
        <w:p>
          <w:pPr>
            <w:pStyle w:val="19"/>
            <w:tabs>
              <w:tab w:val="left" w:pos="1020"/>
              <w:tab w:val="right" w:leader="dot" w:pos="8296"/>
            </w:tabs>
            <w:ind w:left="480"/>
            <w:rPr>
              <w:rFonts w:asciiTheme="minorHAnsi" w:hAnsiTheme="minorHAnsi" w:eastAsiaTheme="minorEastAsia" w:cstheme="minorBidi"/>
              <w:sz w:val="21"/>
              <w:szCs w:val="22"/>
            </w:rPr>
          </w:pPr>
          <w:r>
            <w:fldChar w:fldCharType="begin"/>
          </w:r>
          <w:r>
            <w:instrText xml:space="preserve"> HYPERLINK \l "_Toc3896876" </w:instrText>
          </w:r>
          <w:r>
            <w:fldChar w:fldCharType="separate"/>
          </w:r>
          <w:r>
            <w:rPr>
              <w:rStyle w:val="28"/>
              <w:rFonts w:hint="eastAsia"/>
              <w:color w:val="auto"/>
            </w:rPr>
            <w:t>三、</w:t>
          </w:r>
          <w:r>
            <w:rPr>
              <w:rFonts w:asciiTheme="minorHAnsi" w:hAnsiTheme="minorHAnsi" w:eastAsiaTheme="minorEastAsia" w:cstheme="minorBidi"/>
              <w:sz w:val="21"/>
              <w:szCs w:val="22"/>
            </w:rPr>
            <w:tab/>
          </w:r>
          <w:r>
            <w:rPr>
              <w:rStyle w:val="28"/>
              <w:rFonts w:hint="eastAsia"/>
              <w:color w:val="auto"/>
            </w:rPr>
            <w:t>期货公司风险管理的基本要求</w:t>
          </w:r>
          <w:r>
            <w:tab/>
          </w:r>
          <w:r>
            <w:fldChar w:fldCharType="begin"/>
          </w:r>
          <w:r>
            <w:instrText xml:space="preserve"> PAGEREF _Toc3896876 \h </w:instrText>
          </w:r>
          <w:r>
            <w:fldChar w:fldCharType="separate"/>
          </w:r>
          <w:r>
            <w:t>196</w:t>
          </w:r>
          <w:r>
            <w:fldChar w:fldCharType="end"/>
          </w:r>
          <w:r>
            <w:fldChar w:fldCharType="end"/>
          </w:r>
        </w:p>
        <w:p>
          <w:pPr>
            <w:pStyle w:val="19"/>
            <w:tabs>
              <w:tab w:val="right" w:leader="dot" w:pos="8296"/>
            </w:tabs>
            <w:ind w:left="480"/>
            <w:rPr>
              <w:rFonts w:asciiTheme="minorHAnsi" w:hAnsiTheme="minorHAnsi" w:eastAsiaTheme="minorEastAsia" w:cstheme="minorBidi"/>
              <w:sz w:val="21"/>
              <w:szCs w:val="22"/>
            </w:rPr>
          </w:pPr>
          <w:r>
            <w:fldChar w:fldCharType="begin"/>
          </w:r>
          <w:r>
            <w:instrText xml:space="preserve"> HYPERLINK \l "_Toc3896877" </w:instrText>
          </w:r>
          <w:r>
            <w:fldChar w:fldCharType="separate"/>
          </w:r>
          <w:r>
            <w:rPr>
              <w:rStyle w:val="28"/>
              <w:rFonts w:hint="eastAsia"/>
              <w:color w:val="auto"/>
            </w:rPr>
            <w:t>四、期货公司经纪业务的风险管理</w:t>
          </w:r>
          <w:r>
            <w:tab/>
          </w:r>
          <w:r>
            <w:fldChar w:fldCharType="begin"/>
          </w:r>
          <w:r>
            <w:instrText xml:space="preserve"> PAGEREF _Toc3896877 \h </w:instrText>
          </w:r>
          <w:r>
            <w:fldChar w:fldCharType="separate"/>
          </w:r>
          <w:r>
            <w:t>197</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"_Toc3896878" </w:instrText>
          </w:r>
          <w:r>
            <w:fldChar w:fldCharType="separate"/>
          </w:r>
          <w:r>
            <w:rPr>
              <w:rStyle w:val="28"/>
              <w:rFonts w:hint="eastAsia"/>
              <w:color w:val="auto"/>
            </w:rPr>
            <w:t>（一）市场开发环节</w:t>
          </w:r>
          <w:r>
            <w:tab/>
          </w:r>
          <w:r>
            <w:fldChar w:fldCharType="begin"/>
          </w:r>
          <w:r>
            <w:instrText xml:space="preserve"> PAGEREF _Toc3896878 \h </w:instrText>
          </w:r>
          <w:r>
            <w:fldChar w:fldCharType="separate"/>
          </w:r>
          <w:r>
            <w:t>197</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"_Toc3896879" </w:instrText>
          </w:r>
          <w:r>
            <w:fldChar w:fldCharType="separate"/>
          </w:r>
          <w:r>
            <w:rPr>
              <w:rStyle w:val="28"/>
              <w:rFonts w:hint="eastAsia"/>
              <w:color w:val="auto"/>
            </w:rPr>
            <w:t>（二）开户环节</w:t>
          </w:r>
          <w:r>
            <w:tab/>
          </w:r>
          <w:r>
            <w:fldChar w:fldCharType="begin"/>
          </w:r>
          <w:r>
            <w:instrText xml:space="preserve"> PAGEREF _Toc3896879 \h </w:instrText>
          </w:r>
          <w:r>
            <w:fldChar w:fldCharType="separate"/>
          </w:r>
          <w:r>
            <w:t>197</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"_Toc3896880" </w:instrText>
          </w:r>
          <w:r>
            <w:fldChar w:fldCharType="separate"/>
          </w:r>
          <w:r>
            <w:rPr>
              <w:rStyle w:val="28"/>
              <w:rFonts w:hint="eastAsia"/>
              <w:color w:val="auto"/>
            </w:rPr>
            <w:t>（三）交易环节</w:t>
          </w:r>
          <w:r>
            <w:tab/>
          </w:r>
          <w:r>
            <w:fldChar w:fldCharType="begin"/>
          </w:r>
          <w:r>
            <w:instrText xml:space="preserve"> PAGEREF _Toc3896880 \h </w:instrText>
          </w:r>
          <w:r>
            <w:fldChar w:fldCharType="separate"/>
          </w:r>
          <w:r>
            <w:t>198</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"_Toc3896881" </w:instrText>
          </w:r>
          <w:r>
            <w:fldChar w:fldCharType="separate"/>
          </w:r>
          <w:r>
            <w:rPr>
              <w:rStyle w:val="28"/>
              <w:rFonts w:hint="eastAsia"/>
              <w:color w:val="auto"/>
            </w:rPr>
            <w:t>（四）结算环节</w:t>
          </w:r>
          <w:r>
            <w:tab/>
          </w:r>
          <w:r>
            <w:fldChar w:fldCharType="begin"/>
          </w:r>
          <w:r>
            <w:instrText xml:space="preserve"> PAGEREF _Toc3896881 \h </w:instrText>
          </w:r>
          <w:r>
            <w:fldChar w:fldCharType="separate"/>
          </w:r>
          <w:r>
            <w:t>198</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"_Toc3896882" </w:instrText>
          </w:r>
          <w:r>
            <w:fldChar w:fldCharType="separate"/>
          </w:r>
          <w:r>
            <w:rPr>
              <w:rStyle w:val="28"/>
              <w:rFonts w:hint="eastAsia"/>
              <w:color w:val="auto"/>
            </w:rPr>
            <w:t>（五）财务环节</w:t>
          </w:r>
          <w:r>
            <w:tab/>
          </w:r>
          <w:r>
            <w:fldChar w:fldCharType="begin"/>
          </w:r>
          <w:r>
            <w:instrText xml:space="preserve"> PAGEREF _Toc3896882 \h </w:instrText>
          </w:r>
          <w:r>
            <w:fldChar w:fldCharType="separate"/>
          </w:r>
          <w:r>
            <w:t>199</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"_Toc3896883" </w:instrText>
          </w:r>
          <w:r>
            <w:fldChar w:fldCharType="separate"/>
          </w:r>
          <w:r>
            <w:rPr>
              <w:rStyle w:val="28"/>
              <w:rFonts w:hint="eastAsia"/>
              <w:color w:val="auto"/>
            </w:rPr>
            <w:t>（六）技术环节</w:t>
          </w:r>
          <w:r>
            <w:tab/>
          </w:r>
          <w:r>
            <w:fldChar w:fldCharType="begin"/>
          </w:r>
          <w:r>
            <w:instrText xml:space="preserve"> PAGEREF _Toc3896883 \h </w:instrText>
          </w:r>
          <w:r>
            <w:fldChar w:fldCharType="separate"/>
          </w:r>
          <w:r>
            <w:t>199</w:t>
          </w:r>
          <w:r>
            <w:fldChar w:fldCharType="end"/>
          </w:r>
          <w:r>
            <w:fldChar w:fldCharType="end"/>
          </w:r>
        </w:p>
        <w:p>
          <w:pPr>
            <w:pStyle w:val="19"/>
            <w:tabs>
              <w:tab w:val="right" w:leader="dot" w:pos="8296"/>
            </w:tabs>
            <w:ind w:left="480"/>
            <w:rPr>
              <w:rFonts w:asciiTheme="minorHAnsi" w:hAnsiTheme="minorHAnsi" w:eastAsiaTheme="minorEastAsia" w:cstheme="minorBidi"/>
              <w:sz w:val="21"/>
              <w:szCs w:val="22"/>
            </w:rPr>
          </w:pPr>
          <w:r>
            <w:fldChar w:fldCharType="begin"/>
          </w:r>
          <w:r>
            <w:instrText xml:space="preserve"> HYPERLINK \l "_Toc3896884" </w:instrText>
          </w:r>
          <w:r>
            <w:fldChar w:fldCharType="separate"/>
          </w:r>
          <w:r>
            <w:rPr>
              <w:rStyle w:val="28"/>
              <w:rFonts w:hint="eastAsia"/>
              <w:color w:val="auto"/>
            </w:rPr>
            <w:t>五、与创新业务相关的责任落实与风险防范机制</w:t>
          </w:r>
          <w:r>
            <w:tab/>
          </w:r>
          <w:r>
            <w:fldChar w:fldCharType="begin"/>
          </w:r>
          <w:r>
            <w:instrText xml:space="preserve"> PAGEREF _Toc3896884 \h </w:instrText>
          </w:r>
          <w:r>
            <w:fldChar w:fldCharType="separate"/>
          </w:r>
          <w:r>
            <w:t>200</w:t>
          </w:r>
          <w:r>
            <w:fldChar w:fldCharType="end"/>
          </w:r>
          <w:r>
            <w:fldChar w:fldCharType="end"/>
          </w:r>
        </w:p>
        <w:p>
          <w:pPr>
            <w:pStyle w:val="19"/>
            <w:tabs>
              <w:tab w:val="right" w:leader="dot" w:pos="8296"/>
            </w:tabs>
            <w:ind w:left="480"/>
            <w:rPr>
              <w:rFonts w:asciiTheme="minorHAnsi" w:hAnsiTheme="minorHAnsi" w:eastAsiaTheme="minorEastAsia" w:cstheme="minorBidi"/>
              <w:sz w:val="21"/>
              <w:szCs w:val="22"/>
            </w:rPr>
          </w:pPr>
          <w:r>
            <w:fldChar w:fldCharType="begin"/>
          </w:r>
          <w:r>
            <w:instrText xml:space="preserve"> HYPERLINK \l "_Toc3896885" </w:instrText>
          </w:r>
          <w:r>
            <w:fldChar w:fldCharType="separate"/>
          </w:r>
          <w:r>
            <w:rPr>
              <w:rStyle w:val="28"/>
              <w:rFonts w:hint="eastAsia"/>
              <w:color w:val="auto"/>
            </w:rPr>
            <w:t>六、期货公司风险监管报表的确认，报告和披露的责任与义务</w:t>
          </w:r>
          <w:r>
            <w:tab/>
          </w:r>
          <w:r>
            <w:fldChar w:fldCharType="begin"/>
          </w:r>
          <w:r>
            <w:instrText xml:space="preserve"> PAGEREF _Toc3896885 \h </w:instrText>
          </w:r>
          <w:r>
            <w:fldChar w:fldCharType="separate"/>
          </w:r>
          <w:r>
            <w:t>200</w:t>
          </w:r>
          <w:r>
            <w:fldChar w:fldCharType="end"/>
          </w:r>
          <w:r>
            <w:fldChar w:fldCharType="end"/>
          </w:r>
        </w:p>
        <w:p>
          <w:pPr>
            <w:pStyle w:val="19"/>
            <w:tabs>
              <w:tab w:val="right" w:leader="dot" w:pos="8296"/>
            </w:tabs>
            <w:ind w:left="480"/>
            <w:rPr>
              <w:rFonts w:asciiTheme="minorHAnsi" w:hAnsiTheme="minorHAnsi" w:eastAsiaTheme="minorEastAsia" w:cstheme="minorBidi"/>
              <w:sz w:val="21"/>
              <w:szCs w:val="22"/>
            </w:rPr>
          </w:pPr>
          <w:r>
            <w:fldChar w:fldCharType="begin"/>
          </w:r>
          <w:r>
            <w:instrText xml:space="preserve"> HYPERLINK \l "_Toc3896886" </w:instrText>
          </w:r>
          <w:r>
            <w:fldChar w:fldCharType="separate"/>
          </w:r>
          <w:r>
            <w:rPr>
              <w:rStyle w:val="28"/>
              <w:rFonts w:hint="eastAsia"/>
              <w:color w:val="auto"/>
            </w:rPr>
            <w:t>七、如何认识期货公司的内部控制</w:t>
          </w:r>
          <w:r>
            <w:tab/>
          </w:r>
          <w:r>
            <w:fldChar w:fldCharType="begin"/>
          </w:r>
          <w:r>
            <w:instrText xml:space="preserve"> PAGEREF _Toc3896886 \h </w:instrText>
          </w:r>
          <w:r>
            <w:fldChar w:fldCharType="separate"/>
          </w:r>
          <w:r>
            <w:t>201</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"_Toc3896887" </w:instrText>
          </w:r>
          <w:r>
            <w:fldChar w:fldCharType="separate"/>
          </w:r>
          <w:r>
            <w:rPr>
              <w:rStyle w:val="28"/>
              <w:rFonts w:hint="eastAsia"/>
              <w:color w:val="auto"/>
            </w:rPr>
            <w:t>（一）什么是期货公司的内部控制</w:t>
          </w:r>
          <w:r>
            <w:tab/>
          </w:r>
          <w:r>
            <w:fldChar w:fldCharType="begin"/>
          </w:r>
          <w:r>
            <w:instrText xml:space="preserve"> PAGEREF _Toc3896887 \h </w:instrText>
          </w:r>
          <w:r>
            <w:fldChar w:fldCharType="separate"/>
          </w:r>
          <w:r>
            <w:t>201</w:t>
          </w:r>
          <w:r>
            <w:fldChar w:fldCharType="end"/>
          </w:r>
          <w:r>
            <w:fldChar w:fldCharType="end"/>
          </w:r>
        </w:p>
        <w:p>
          <w:pPr>
            <w:pStyle w:val="10"/>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"_Toc3896888" </w:instrText>
          </w:r>
          <w:r>
            <w:fldChar w:fldCharType="separate"/>
          </w:r>
          <w:r>
            <w:rPr>
              <w:rStyle w:val="28"/>
              <w:rFonts w:hint="eastAsia"/>
              <w:color w:val="auto"/>
            </w:rPr>
            <w:t>（二）对期货公司的内部控制的几点认识</w:t>
          </w:r>
          <w:r>
            <w:tab/>
          </w:r>
          <w:r>
            <w:fldChar w:fldCharType="begin"/>
          </w:r>
          <w:r>
            <w:instrText xml:space="preserve"> PAGEREF _Toc3896888 \h </w:instrText>
          </w:r>
          <w:r>
            <w:fldChar w:fldCharType="separate"/>
          </w:r>
          <w:r>
            <w:t>202</w:t>
          </w:r>
          <w:r>
            <w:fldChar w:fldCharType="end"/>
          </w:r>
          <w:r>
            <w:fldChar w:fldCharType="end"/>
          </w:r>
        </w:p>
        <w:p>
          <w:pPr>
            <w:pStyle w:val="19"/>
            <w:tabs>
              <w:tab w:val="right" w:leader="dot" w:pos="8296"/>
            </w:tabs>
            <w:ind w:left="480"/>
            <w:rPr>
              <w:rFonts w:asciiTheme="minorHAnsi" w:hAnsiTheme="minorHAnsi" w:eastAsiaTheme="minorEastAsia" w:cstheme="minorBidi"/>
              <w:sz w:val="21"/>
              <w:szCs w:val="22"/>
            </w:rPr>
          </w:pPr>
          <w:r>
            <w:fldChar w:fldCharType="begin"/>
          </w:r>
          <w:r>
            <w:instrText xml:space="preserve"> HYPERLINK \l "_Toc3896889" </w:instrText>
          </w:r>
          <w:r>
            <w:fldChar w:fldCharType="separate"/>
          </w:r>
          <w:r>
            <w:rPr>
              <w:rStyle w:val="28"/>
              <w:rFonts w:hint="eastAsia"/>
              <w:color w:val="auto"/>
            </w:rPr>
            <w:t>八、期货公司内部控制及风险管理基本原则</w:t>
          </w:r>
          <w:r>
            <w:tab/>
          </w:r>
          <w:r>
            <w:fldChar w:fldCharType="begin"/>
          </w:r>
          <w:r>
            <w:instrText xml:space="preserve"> PAGEREF _Toc3896889 \h </w:instrText>
          </w:r>
          <w:r>
            <w:fldChar w:fldCharType="separate"/>
          </w:r>
          <w:r>
            <w:t>202</w:t>
          </w:r>
          <w:r>
            <w:fldChar w:fldCharType="end"/>
          </w:r>
          <w:r>
            <w:fldChar w:fldCharType="end"/>
          </w:r>
        </w:p>
        <w:p>
          <w:pPr>
            <w:pStyle w:val="19"/>
            <w:tabs>
              <w:tab w:val="right" w:leader="dot" w:pos="8296"/>
            </w:tabs>
            <w:ind w:left="480"/>
            <w:rPr>
              <w:rFonts w:asciiTheme="minorHAnsi" w:hAnsiTheme="minorHAnsi" w:eastAsiaTheme="minorEastAsia" w:cstheme="minorBidi"/>
              <w:sz w:val="21"/>
              <w:szCs w:val="22"/>
            </w:rPr>
          </w:pPr>
          <w:r>
            <w:fldChar w:fldCharType="begin"/>
          </w:r>
          <w:r>
            <w:instrText xml:space="preserve"> HYPERLINK \l "_Toc3896890" </w:instrText>
          </w:r>
          <w:r>
            <w:fldChar w:fldCharType="separate"/>
          </w:r>
          <w:r>
            <w:rPr>
              <w:rStyle w:val="28"/>
              <w:rFonts w:hint="eastAsia"/>
              <w:color w:val="auto"/>
            </w:rPr>
            <w:t>九、期货公司建立与实施内部控制应包括的基本要素</w:t>
          </w:r>
          <w:r>
            <w:tab/>
          </w:r>
          <w:r>
            <w:fldChar w:fldCharType="begin"/>
          </w:r>
          <w:r>
            <w:instrText xml:space="preserve"> PAGEREF _Toc3896890 \h </w:instrText>
          </w:r>
          <w:r>
            <w:fldChar w:fldCharType="separate"/>
          </w:r>
          <w:r>
            <w:t>203</w:t>
          </w:r>
          <w:r>
            <w:fldChar w:fldCharType="end"/>
          </w:r>
          <w:r>
            <w:fldChar w:fldCharType="end"/>
          </w:r>
        </w:p>
        <w:p>
          <w:pPr>
            <w:pStyle w:val="19"/>
            <w:tabs>
              <w:tab w:val="right" w:leader="dot" w:pos="8296"/>
            </w:tabs>
            <w:ind w:left="480"/>
            <w:rPr>
              <w:rFonts w:asciiTheme="minorHAnsi" w:hAnsiTheme="minorHAnsi" w:eastAsiaTheme="minorEastAsia" w:cstheme="minorBidi"/>
              <w:sz w:val="21"/>
              <w:szCs w:val="22"/>
            </w:rPr>
          </w:pPr>
          <w:r>
            <w:fldChar w:fldCharType="begin"/>
          </w:r>
          <w:r>
            <w:instrText xml:space="preserve"> HYPERLINK \l "_Toc3896891" </w:instrText>
          </w:r>
          <w:r>
            <w:fldChar w:fldCharType="separate"/>
          </w:r>
          <w:r>
            <w:rPr>
              <w:rStyle w:val="28"/>
              <w:rFonts w:hint="eastAsia"/>
              <w:color w:val="auto"/>
            </w:rPr>
            <w:t>十、关于合规、合规管理及合规风险的定义</w:t>
          </w:r>
          <w:r>
            <w:tab/>
          </w:r>
          <w:r>
            <w:fldChar w:fldCharType="begin"/>
          </w:r>
          <w:r>
            <w:instrText xml:space="preserve"> PAGEREF _Toc3896891 \h </w:instrText>
          </w:r>
          <w:r>
            <w:fldChar w:fldCharType="separate"/>
          </w:r>
          <w:r>
            <w:t>203</w:t>
          </w:r>
          <w:r>
            <w:fldChar w:fldCharType="end"/>
          </w:r>
          <w:r>
            <w:fldChar w:fldCharType="end"/>
          </w:r>
        </w:p>
        <w:p>
          <w:pPr>
            <w:pStyle w:val="19"/>
            <w:tabs>
              <w:tab w:val="right" w:leader="dot" w:pos="8296"/>
            </w:tabs>
            <w:ind w:left="480"/>
            <w:rPr>
              <w:rFonts w:asciiTheme="minorHAnsi" w:hAnsiTheme="minorHAnsi" w:eastAsiaTheme="minorEastAsia" w:cstheme="minorBidi"/>
              <w:sz w:val="21"/>
              <w:szCs w:val="22"/>
            </w:rPr>
          </w:pPr>
          <w:r>
            <w:fldChar w:fldCharType="begin"/>
          </w:r>
          <w:r>
            <w:instrText xml:space="preserve"> HYPERLINK \l "_Toc3896892" </w:instrText>
          </w:r>
          <w:r>
            <w:fldChar w:fldCharType="separate"/>
          </w:r>
          <w:r>
            <w:rPr>
              <w:rStyle w:val="28"/>
              <w:rFonts w:hint="eastAsia"/>
              <w:color w:val="auto"/>
            </w:rPr>
            <w:t>十一</w:t>
          </w:r>
          <w:r>
            <w:rPr>
              <w:rStyle w:val="28"/>
              <w:color w:val="auto"/>
            </w:rPr>
            <w:t>、</w:t>
          </w:r>
          <w:r>
            <w:rPr>
              <w:rStyle w:val="28"/>
              <w:rFonts w:hint="eastAsia"/>
              <w:color w:val="auto"/>
            </w:rPr>
            <w:t>关于证券基金经营机构对各层级子公司的合规管理责任</w:t>
          </w:r>
          <w:r>
            <w:tab/>
          </w:r>
          <w:r>
            <w:fldChar w:fldCharType="begin"/>
          </w:r>
          <w:r>
            <w:instrText xml:space="preserve"> PAGEREF _Toc3896892 \h </w:instrText>
          </w:r>
          <w:r>
            <w:fldChar w:fldCharType="separate"/>
          </w:r>
          <w:r>
            <w:t>204</w:t>
          </w:r>
          <w:r>
            <w:fldChar w:fldCharType="end"/>
          </w:r>
          <w:r>
            <w:fldChar w:fldCharType="end"/>
          </w:r>
        </w:p>
        <w:p>
          <w:r>
            <w:fldChar w:fldCharType="end"/>
          </w:r>
        </w:p>
      </w:sdtContent>
    </w:sdt>
    <w:p>
      <w:pPr>
        <w:jc w:val="center"/>
        <w:rPr>
          <w:rFonts w:ascii="仿宋" w:hAnsi="仿宋"/>
        </w:rPr>
        <w:sectPr>
          <w:pgSz w:w="11906" w:h="16838"/>
          <w:pgMar w:top="1440" w:right="1800" w:bottom="1440" w:left="1800" w:header="851" w:footer="992" w:gutter="0"/>
          <w:cols w:space="425" w:num="1"/>
          <w:docGrid w:type="lines" w:linePitch="312" w:charSpace="0"/>
        </w:sectPr>
      </w:pPr>
    </w:p>
    <w:p>
      <w:pPr>
        <w:pStyle w:val="2"/>
      </w:pPr>
      <w:bookmarkStart w:id="0" w:name="_Toc445043850"/>
      <w:bookmarkStart w:id="1" w:name="_Toc3896668"/>
      <w:bookmarkStart w:id="2" w:name="_Toc400558198"/>
      <w:bookmarkStart w:id="3" w:name="_Toc400583827"/>
      <w:bookmarkStart w:id="4" w:name="_Toc400584448"/>
      <w:bookmarkStart w:id="5" w:name="_Toc399750545"/>
      <w:bookmarkStart w:id="6" w:name="_Toc402034638"/>
      <w:bookmarkStart w:id="7" w:name="_Toc402111702"/>
      <w:bookmarkStart w:id="8" w:name="_Toc400553815"/>
      <w:r>
        <w:rPr>
          <w:rFonts w:hint="eastAsia"/>
        </w:rPr>
        <w:t>第一部分</w:t>
      </w:r>
      <w:r>
        <w:t xml:space="preserve"> </w:t>
      </w:r>
      <w:r>
        <w:rPr>
          <w:rFonts w:hint="eastAsia"/>
        </w:rPr>
        <w:t>期货及衍生品基础知识</w:t>
      </w:r>
      <w:bookmarkEnd w:id="0"/>
      <w:bookmarkEnd w:id="1"/>
    </w:p>
    <w:p>
      <w:pPr>
        <w:pStyle w:val="3"/>
        <w:rPr>
          <w:sz w:val="24"/>
          <w:szCs w:val="24"/>
        </w:rPr>
      </w:pPr>
      <w:bookmarkStart w:id="9" w:name="_Toc445043851"/>
      <w:bookmarkStart w:id="10" w:name="_Toc3896669"/>
      <w:r>
        <w:rPr>
          <w:rFonts w:hint="eastAsia"/>
          <w:sz w:val="24"/>
          <w:szCs w:val="24"/>
        </w:rPr>
        <w:t>一、期货市场概述</w:t>
      </w:r>
      <w:bookmarkEnd w:id="9"/>
      <w:bookmarkEnd w:id="10"/>
    </w:p>
    <w:p>
      <w:pPr>
        <w:pStyle w:val="4"/>
        <w:spacing w:before="0" w:after="0" w:line="360" w:lineRule="auto"/>
        <w:ind w:firstLine="482" w:firstLineChars="200"/>
        <w:rPr>
          <w:rFonts w:ascii="仿宋" w:hAnsi="仿宋"/>
          <w:szCs w:val="24"/>
        </w:rPr>
      </w:pPr>
      <w:bookmarkStart w:id="11" w:name="_Toc445043852"/>
      <w:bookmarkStart w:id="12" w:name="_Toc3896670"/>
      <w:r>
        <w:rPr>
          <w:rFonts w:hint="eastAsia" w:ascii="仿宋" w:hAnsi="仿宋"/>
          <w:szCs w:val="24"/>
        </w:rPr>
        <w:t>（一）期货交易的概念和特</w:t>
      </w:r>
      <w:bookmarkEnd w:id="11"/>
      <w:r>
        <w:rPr>
          <w:rFonts w:hint="eastAsia" w:ascii="仿宋" w:hAnsi="仿宋"/>
          <w:szCs w:val="24"/>
        </w:rPr>
        <w:t>点</w:t>
      </w:r>
      <w:bookmarkEnd w:id="12"/>
    </w:p>
    <w:p>
      <w:pPr>
        <w:spacing w:line="360" w:lineRule="auto"/>
        <w:ind w:firstLine="480" w:firstLineChars="200"/>
        <w:rPr>
          <w:rFonts w:ascii="仿宋" w:hAnsi="仿宋"/>
          <w:bCs/>
          <w:kern w:val="0"/>
        </w:rPr>
      </w:pPr>
      <w:r>
        <w:rPr>
          <w:rFonts w:hint="eastAsia" w:ascii="仿宋" w:hAnsi="仿宋"/>
          <w:bCs/>
          <w:kern w:val="0"/>
        </w:rPr>
        <w:t>期货交易即期货合约的买卖，它由远期现货交易衍生而来，是与现货交易相对应的交易方式。期货交易的基本特征如下：</w:t>
      </w:r>
    </w:p>
    <w:p>
      <w:pPr>
        <w:pStyle w:val="40"/>
        <w:numPr>
          <w:ilvl w:val="0"/>
          <w:numId w:val="1"/>
        </w:numPr>
        <w:spacing w:line="360" w:lineRule="auto"/>
        <w:ind w:firstLineChars="0"/>
        <w:rPr>
          <w:rFonts w:ascii="仿宋" w:hAnsi="仿宋"/>
          <w:bCs/>
          <w:kern w:val="0"/>
        </w:rPr>
      </w:pPr>
      <w:r>
        <w:rPr>
          <w:rFonts w:hint="eastAsia" w:ascii="仿宋" w:hAnsi="仿宋"/>
          <w:bCs/>
          <w:kern w:val="0"/>
        </w:rPr>
        <w:t>合约标准化。期货合约是由交易所统一制定的标准化远期合约。在合约中，标的物的数量、规格、交割时间和地点等都是既定的。这种标准化合约给期货交易带来极大的便利，交易双方不需要事先对交易的具体条款进行协商，从而节约了交易成本，提高了交易效率和市场流动性。</w:t>
      </w:r>
    </w:p>
    <w:p>
      <w:pPr>
        <w:numPr>
          <w:ilvl w:val="0"/>
          <w:numId w:val="1"/>
        </w:numPr>
        <w:spacing w:line="360" w:lineRule="auto"/>
        <w:ind w:firstLine="480" w:firstLineChars="200"/>
        <w:rPr>
          <w:rFonts w:ascii="仿宋" w:hAnsi="仿宋"/>
          <w:bCs/>
          <w:kern w:val="0"/>
        </w:rPr>
      </w:pPr>
      <w:r>
        <w:rPr>
          <w:rFonts w:hint="eastAsia" w:ascii="仿宋" w:hAnsi="仿宋"/>
          <w:bCs/>
          <w:kern w:val="0"/>
        </w:rPr>
        <w:t>场内集中竞价交易。期货交易实行场内交易，所有买卖指令必须在交易所内进行集中竞价成交。只有交易所的会员方能进场交易，其他交易者只能委托交易所会员，由其代理进行期货交易。</w:t>
      </w:r>
    </w:p>
    <w:p>
      <w:pPr>
        <w:numPr>
          <w:ilvl w:val="0"/>
          <w:numId w:val="1"/>
        </w:numPr>
        <w:spacing w:line="360" w:lineRule="auto"/>
        <w:ind w:firstLine="480" w:firstLineChars="200"/>
        <w:rPr>
          <w:rFonts w:ascii="仿宋" w:hAnsi="仿宋"/>
          <w:bCs/>
          <w:kern w:val="0"/>
        </w:rPr>
      </w:pPr>
      <w:r>
        <w:rPr>
          <w:rFonts w:hint="eastAsia" w:ascii="仿宋" w:hAnsi="仿宋"/>
          <w:bCs/>
          <w:kern w:val="0"/>
        </w:rPr>
        <w:t>保证金交易。期货交易实行保证金制度。交易者在买卖期货合约时按合约价值的一定比率缴纳保证金（一般为</w:t>
      </w:r>
      <w:r>
        <w:rPr>
          <w:rFonts w:ascii="仿宋" w:hAnsi="仿宋"/>
          <w:bCs/>
          <w:kern w:val="0"/>
        </w:rPr>
        <w:t>5%</w:t>
      </w:r>
      <w:r>
        <w:rPr>
          <w:rFonts w:hint="eastAsia" w:ascii="仿宋" w:hAnsi="仿宋"/>
          <w:bCs/>
          <w:kern w:val="0"/>
        </w:rPr>
        <w:t>—20</w:t>
      </w:r>
      <w:r>
        <w:rPr>
          <w:rFonts w:ascii="仿宋" w:hAnsi="仿宋"/>
          <w:bCs/>
          <w:kern w:val="0"/>
        </w:rPr>
        <w:t>%）作为履约保证，即可进行数倍于保证金的交易。这种以小博大的保证金交易，也被称为“杠杆交易”。期货交易的这一特征使期货交易具有高收益和高风险的特点。保证金比率越低，杠杆效应就越大，高收益和高风险的特点就越明显。</w:t>
      </w:r>
    </w:p>
    <w:p>
      <w:pPr>
        <w:numPr>
          <w:ilvl w:val="0"/>
          <w:numId w:val="1"/>
        </w:numPr>
        <w:spacing w:line="360" w:lineRule="auto"/>
        <w:ind w:firstLine="480" w:firstLineChars="200"/>
        <w:rPr>
          <w:rFonts w:ascii="仿宋" w:hAnsi="仿宋"/>
          <w:bCs/>
          <w:kern w:val="0"/>
        </w:rPr>
      </w:pPr>
      <w:r>
        <w:rPr>
          <w:rFonts w:hint="eastAsia" w:ascii="仿宋" w:hAnsi="仿宋"/>
          <w:bCs/>
          <w:kern w:val="0"/>
        </w:rPr>
        <w:t>双向交易。期货交易采取双向交易方式。交易者既可以买入建仓（或称为开仓），即通过买入期货合约开始交易，也可以卖出建仓，即通过卖出期货合约开始交易。前者也称为“买空”，后者也称为“卖空”。双向交易给予投资者双向的投资机会，也就是在期货价格上升时，可通过低买高卖来获利；在期货价格下降时，可通过高卖低买来获利。</w:t>
      </w:r>
    </w:p>
    <w:p>
      <w:pPr>
        <w:numPr>
          <w:ilvl w:val="0"/>
          <w:numId w:val="1"/>
        </w:numPr>
        <w:spacing w:line="360" w:lineRule="auto"/>
        <w:ind w:firstLine="480" w:firstLineChars="200"/>
        <w:rPr>
          <w:rFonts w:ascii="仿宋" w:hAnsi="仿宋"/>
          <w:bCs/>
          <w:kern w:val="0"/>
        </w:rPr>
      </w:pPr>
      <w:r>
        <w:rPr>
          <w:rFonts w:hint="eastAsia" w:ascii="仿宋" w:hAnsi="仿宋"/>
          <w:bCs/>
          <w:kern w:val="0"/>
        </w:rPr>
        <w:t>对冲了结。交易者在期货市场建仓后，大多并不是通过交割（交收现货）来结束交易，而是通过对冲了结。买入建仓后，可以通过卖出同一期货合约来解除履约责任；卖出建仓后，可以通过买入同一期货合约来解除履约责任。对冲了结使投资者不必通过交割来结束期货交易，从而提高期货市场的流动性。</w:t>
      </w:r>
    </w:p>
    <w:p>
      <w:pPr>
        <w:numPr>
          <w:ilvl w:val="0"/>
          <w:numId w:val="1"/>
        </w:numPr>
        <w:spacing w:line="360" w:lineRule="auto"/>
        <w:ind w:firstLine="480" w:firstLineChars="200"/>
        <w:rPr>
          <w:rFonts w:ascii="仿宋" w:hAnsi="仿宋"/>
          <w:bCs/>
          <w:kern w:val="0"/>
        </w:rPr>
      </w:pPr>
      <w:r>
        <w:rPr>
          <w:rFonts w:hint="eastAsia" w:ascii="仿宋" w:hAnsi="仿宋"/>
          <w:bCs/>
          <w:kern w:val="0"/>
        </w:rPr>
        <w:t>当日无负债结算制度。期货交易实行当日无负债结算制度，也称为“逐日盯市”。结算部门在每日交易结束后，按当日结算价对交易者结算所有合约的盈亏、交易保证金及手续费、税金等费用，对应收应付的款项进行净额一次划转，并相应增加或减少保证金。如果交易者的保证金余额低于规定标准，则须追加保证金，从而做到“当日无负债”。当日无负债可以有效防范风险，保证期货市场的正常运转。</w:t>
      </w:r>
    </w:p>
    <w:p>
      <w:pPr>
        <w:spacing w:line="360" w:lineRule="auto"/>
        <w:ind w:firstLine="482" w:firstLineChars="200"/>
        <w:rPr>
          <w:rFonts w:ascii="仿宋" w:hAnsi="仿宋" w:cs="仿宋"/>
          <w:b/>
          <w:kern w:val="0"/>
        </w:rPr>
      </w:pPr>
    </w:p>
    <w:p>
      <w:pPr>
        <w:pStyle w:val="4"/>
        <w:spacing w:before="0" w:after="0" w:line="360" w:lineRule="auto"/>
        <w:ind w:firstLine="482" w:firstLineChars="200"/>
        <w:rPr>
          <w:rFonts w:ascii="仿宋" w:hAnsi="仿宋"/>
          <w:szCs w:val="24"/>
        </w:rPr>
      </w:pPr>
      <w:bookmarkStart w:id="13" w:name="_Toc445043853"/>
      <w:bookmarkStart w:id="14" w:name="_Toc3896671"/>
      <w:r>
        <w:rPr>
          <w:rFonts w:hint="eastAsia" w:ascii="仿宋" w:hAnsi="仿宋"/>
          <w:szCs w:val="24"/>
        </w:rPr>
        <w:t>（二）衍生品市场及其分类</w:t>
      </w:r>
      <w:bookmarkEnd w:id="13"/>
      <w:bookmarkEnd w:id="14"/>
    </w:p>
    <w:p>
      <w:pPr>
        <w:spacing w:line="360" w:lineRule="auto"/>
        <w:ind w:firstLine="480" w:firstLineChars="200"/>
        <w:rPr>
          <w:rFonts w:ascii="仿宋" w:hAnsi="仿宋" w:cs="仿宋"/>
          <w:bCs/>
          <w:kern w:val="0"/>
        </w:rPr>
      </w:pPr>
      <w:r>
        <w:rPr>
          <w:rFonts w:hint="eastAsia" w:ascii="仿宋" w:hAnsi="仿宋" w:cs="仿宋"/>
          <w:bCs/>
          <w:kern w:val="0"/>
        </w:rPr>
        <w:t>所谓衍生品，是从一般商品和基础金融产品（如股票、债券、外汇）等基础资产衍生而来的新型金融产品。具有代表性的衍生品包括远期（</w:t>
      </w:r>
      <w:r>
        <w:rPr>
          <w:rFonts w:ascii="仿宋" w:hAnsi="仿宋" w:cs="仿宋"/>
          <w:bCs/>
          <w:kern w:val="0"/>
        </w:rPr>
        <w:t>Forwards）、期货（Futures）、期权（Options）和互换（Swaps）。</w:t>
      </w:r>
    </w:p>
    <w:p>
      <w:pPr>
        <w:spacing w:line="360" w:lineRule="auto"/>
        <w:ind w:firstLine="480" w:firstLineChars="200"/>
        <w:rPr>
          <w:rFonts w:ascii="仿宋" w:hAnsi="仿宋" w:cs="仿宋"/>
          <w:bCs/>
          <w:kern w:val="0"/>
        </w:rPr>
      </w:pPr>
      <w:r>
        <w:rPr>
          <w:rFonts w:hint="eastAsia" w:ascii="仿宋" w:hAnsi="仿宋" w:cs="仿宋"/>
          <w:bCs/>
          <w:kern w:val="0"/>
        </w:rPr>
        <w:t>按照是否在在交易所内进行交易划分，衍生品交易分为场内交易和场外交易，场外交易又称为柜台交易、店头交易。在衍生品交易中，场外交易的规模远大于场内交易。期货交易是在交易所内集中进行的，期货合约是标准化的；其他衍生品主要是在场外交易，交易的合约是非标准化的，保证金和结算等履约保障机制由双方商定。</w:t>
      </w:r>
    </w:p>
    <w:p>
      <w:pPr>
        <w:spacing w:line="360" w:lineRule="auto"/>
        <w:ind w:firstLine="480" w:firstLineChars="200"/>
        <w:rPr>
          <w:rFonts w:ascii="仿宋" w:hAnsi="仿宋" w:cs="仿宋"/>
        </w:rPr>
      </w:pPr>
      <w:r>
        <w:rPr>
          <w:rFonts w:hint="eastAsia" w:ascii="仿宋" w:hAnsi="仿宋" w:cs="仿宋"/>
        </w:rPr>
        <w:t>根据期货合约标的不同，可分为商品期货和金融期货两大类。</w:t>
      </w:r>
    </w:p>
    <w:p>
      <w:pPr>
        <w:spacing w:line="360" w:lineRule="auto"/>
        <w:ind w:firstLine="480" w:firstLineChars="200"/>
        <w:rPr>
          <w:rFonts w:ascii="仿宋" w:hAnsi="仿宋" w:cs="仿宋"/>
        </w:rPr>
      </w:pPr>
      <w:r>
        <w:rPr>
          <w:rFonts w:hint="eastAsia" w:ascii="仿宋" w:hAnsi="仿宋" w:cs="仿宋"/>
        </w:rPr>
        <w:t>商品期货是指标的物为实物商品的期货合约。主要包括农产品期货、金属期货和能源期货。</w:t>
      </w:r>
    </w:p>
    <w:p>
      <w:pPr>
        <w:spacing w:line="360" w:lineRule="auto"/>
        <w:ind w:firstLine="480" w:firstLineChars="200"/>
        <w:rPr>
          <w:rFonts w:ascii="仿宋" w:hAnsi="仿宋" w:cs="仿宋"/>
        </w:rPr>
      </w:pPr>
      <w:r>
        <w:rPr>
          <w:rFonts w:ascii="仿宋" w:hAnsi="仿宋" w:cs="仿宋"/>
        </w:rPr>
        <w:t>1</w:t>
      </w:r>
      <w:r>
        <w:rPr>
          <w:rFonts w:hint="eastAsia" w:ascii="仿宋" w:hAnsi="仿宋" w:cs="仿宋"/>
        </w:rPr>
        <w:t>、</w:t>
      </w:r>
      <w:r>
        <w:rPr>
          <w:rFonts w:ascii="仿宋" w:hAnsi="仿宋" w:cs="仿宋"/>
        </w:rPr>
        <w:t>农产品期货。农产品期货是指以农产品为标的物的期货合约。除小麦、玉米、燕麦、大米等谷物期货外，棉花、大豆、咖啡、白糖等经济作物，生猪、活牛、</w:t>
      </w:r>
      <w:r>
        <w:rPr>
          <w:rFonts w:hint="eastAsia" w:ascii="仿宋" w:hAnsi="仿宋" w:cs="仿宋"/>
        </w:rPr>
        <w:t>鸡蛋</w:t>
      </w:r>
      <w:r>
        <w:rPr>
          <w:rFonts w:ascii="仿宋" w:hAnsi="仿宋" w:cs="仿宋"/>
        </w:rPr>
        <w:t>等畜禽产品，木材、天然橡胶等林产品期货也陆续上市。</w:t>
      </w:r>
    </w:p>
    <w:p>
      <w:pPr>
        <w:spacing w:line="360" w:lineRule="auto"/>
        <w:ind w:firstLine="480" w:firstLineChars="200"/>
        <w:rPr>
          <w:rFonts w:ascii="仿宋" w:hAnsi="仿宋" w:cs="仿宋"/>
        </w:rPr>
      </w:pPr>
      <w:r>
        <w:rPr>
          <w:rFonts w:ascii="仿宋" w:hAnsi="仿宋" w:cs="仿宋"/>
        </w:rPr>
        <w:t>2</w:t>
      </w:r>
      <w:r>
        <w:rPr>
          <w:rFonts w:hint="eastAsia" w:ascii="仿宋" w:hAnsi="仿宋" w:cs="仿宋"/>
        </w:rPr>
        <w:t>、</w:t>
      </w:r>
      <w:r>
        <w:rPr>
          <w:rFonts w:ascii="仿宋" w:hAnsi="仿宋" w:cs="仿宋"/>
        </w:rPr>
        <w:t>金属</w:t>
      </w:r>
      <w:r>
        <w:rPr>
          <w:rFonts w:hint="eastAsia" w:ascii="仿宋" w:hAnsi="仿宋" w:cs="仿宋"/>
        </w:rPr>
        <w:t>及矿产</w:t>
      </w:r>
      <w:r>
        <w:rPr>
          <w:rFonts w:ascii="仿宋" w:hAnsi="仿宋" w:cs="仿宋"/>
        </w:rPr>
        <w:t>期货。金属</w:t>
      </w:r>
      <w:r>
        <w:rPr>
          <w:rFonts w:hint="eastAsia" w:ascii="仿宋" w:hAnsi="仿宋" w:cs="仿宋"/>
        </w:rPr>
        <w:t>及矿产</w:t>
      </w:r>
      <w:r>
        <w:rPr>
          <w:rFonts w:ascii="仿宋" w:hAnsi="仿宋" w:cs="仿宋"/>
        </w:rPr>
        <w:t>期货是指以金属</w:t>
      </w:r>
      <w:r>
        <w:rPr>
          <w:rFonts w:hint="eastAsia" w:ascii="仿宋" w:hAnsi="仿宋" w:cs="仿宋"/>
        </w:rPr>
        <w:t>或金属矿产</w:t>
      </w:r>
      <w:r>
        <w:rPr>
          <w:rFonts w:ascii="仿宋" w:hAnsi="仿宋" w:cs="仿宋"/>
        </w:rPr>
        <w:t>为标的物的期货合约。目前，世界上主要有色金属期货品种有铜、铝、铅、锌、</w:t>
      </w:r>
      <w:r>
        <w:rPr>
          <w:rFonts w:hint="eastAsia" w:ascii="仿宋" w:hAnsi="仿宋" w:cs="仿宋"/>
        </w:rPr>
        <w:t>镊、硒、金、银、钯期货；黑色金属期货品种包括钢材、铁合金等。金属矿产期货品种包括铁矿石期货等。</w:t>
      </w:r>
    </w:p>
    <w:p>
      <w:pPr>
        <w:spacing w:line="360" w:lineRule="auto"/>
        <w:ind w:firstLine="480" w:firstLineChars="200"/>
        <w:rPr>
          <w:rFonts w:ascii="仿宋" w:hAnsi="仿宋" w:cs="仿宋"/>
        </w:rPr>
      </w:pPr>
      <w:r>
        <w:rPr>
          <w:rFonts w:ascii="仿宋" w:hAnsi="仿宋" w:cs="仿宋"/>
        </w:rPr>
        <w:t>3</w:t>
      </w:r>
      <w:r>
        <w:rPr>
          <w:rFonts w:hint="eastAsia" w:ascii="仿宋" w:hAnsi="仿宋" w:cs="仿宋"/>
        </w:rPr>
        <w:t>、</w:t>
      </w:r>
      <w:r>
        <w:rPr>
          <w:rFonts w:ascii="仿宋" w:hAnsi="仿宋" w:cs="仿宋"/>
        </w:rPr>
        <w:t>能源期货。能源期货是指以能源产品为标的物的期货合约。目前国际上上市的品种有原油、汽油、取暖油、天然气、</w:t>
      </w:r>
      <w:r>
        <w:rPr>
          <w:rFonts w:hint="eastAsia" w:ascii="仿宋" w:hAnsi="仿宋" w:cs="仿宋"/>
        </w:rPr>
        <w:t>动力煤、</w:t>
      </w:r>
      <w:r>
        <w:rPr>
          <w:rFonts w:ascii="仿宋" w:hAnsi="仿宋" w:cs="仿宋"/>
        </w:rPr>
        <w:t>电力等。</w:t>
      </w:r>
    </w:p>
    <w:p>
      <w:pPr>
        <w:spacing w:line="360" w:lineRule="auto"/>
        <w:ind w:firstLine="480" w:firstLineChars="200"/>
        <w:rPr>
          <w:rFonts w:ascii="仿宋" w:hAnsi="仿宋" w:cs="仿宋"/>
        </w:rPr>
      </w:pPr>
      <w:r>
        <w:rPr>
          <w:rFonts w:ascii="仿宋" w:hAnsi="仿宋" w:cs="仿宋"/>
        </w:rPr>
        <w:t>4</w:t>
      </w:r>
      <w:r>
        <w:rPr>
          <w:rFonts w:hint="eastAsia" w:ascii="仿宋" w:hAnsi="仿宋" w:cs="仿宋"/>
        </w:rPr>
        <w:t>、化工期货。化工期货是指以化工产品为标的物的期货合约，包括P</w:t>
      </w:r>
      <w:r>
        <w:rPr>
          <w:rFonts w:ascii="仿宋" w:hAnsi="仿宋" w:cs="仿宋"/>
        </w:rPr>
        <w:t>TA</w:t>
      </w:r>
      <w:r>
        <w:rPr>
          <w:rFonts w:hint="eastAsia" w:ascii="仿宋" w:hAnsi="仿宋" w:cs="仿宋"/>
        </w:rPr>
        <w:t>、焦炭、塑料、化肥等各类化工品种。</w:t>
      </w:r>
    </w:p>
    <w:p>
      <w:pPr>
        <w:spacing w:line="360" w:lineRule="auto"/>
        <w:ind w:firstLine="480" w:firstLineChars="200"/>
        <w:rPr>
          <w:rFonts w:ascii="仿宋" w:hAnsi="仿宋" w:cs="仿宋"/>
        </w:rPr>
      </w:pPr>
      <w:r>
        <w:rPr>
          <w:rFonts w:hint="eastAsia" w:ascii="仿宋" w:hAnsi="仿宋" w:cs="仿宋"/>
        </w:rPr>
        <w:t>金融期货的主要类型有外汇期货、利率期货、股指期货和股票期货。</w:t>
      </w:r>
    </w:p>
    <w:p>
      <w:pPr>
        <w:spacing w:line="360" w:lineRule="auto"/>
        <w:ind w:firstLine="480" w:firstLineChars="200"/>
        <w:rPr>
          <w:rFonts w:ascii="仿宋" w:hAnsi="仿宋" w:cs="仿宋"/>
        </w:rPr>
      </w:pPr>
      <w:r>
        <w:rPr>
          <w:rFonts w:hint="eastAsia" w:ascii="仿宋" w:hAnsi="仿宋" w:cs="仿宋"/>
        </w:rPr>
        <w:t>金融期货品种最先上市的是外汇期货。</w:t>
      </w:r>
      <w:r>
        <w:rPr>
          <w:rFonts w:ascii="仿宋" w:hAnsi="仿宋" w:cs="仿宋"/>
        </w:rPr>
        <w:t>1972年5月，芝加哥商业交易所（CME）设立了国际货币市场分部（IMM），首次推出包括英镑、加拿大元、法国法郎、日元和瑞士法郎等在内的外汇期货合约。外汇期货之后，利率期货产生。1975年10月，芝加哥期货交易所上市国民抵押协会债券（GNMA）期货合约，成为了世</w:t>
      </w:r>
      <w:r>
        <w:rPr>
          <w:rFonts w:hint="eastAsia" w:ascii="仿宋" w:hAnsi="仿宋" w:cs="仿宋"/>
        </w:rPr>
        <w:t>界上第一个推出利率期货合约的交易所。</w:t>
      </w:r>
      <w:r>
        <w:rPr>
          <w:rFonts w:ascii="仿宋" w:hAnsi="仿宋" w:cs="仿宋"/>
        </w:rPr>
        <w:t>1977年8月，美国长期国债期货合约在芝加哥期货交易所（CBOT）上市。1982年2月，美国堪萨斯期货交易所（KCBT）开发了价值线综合指数期货合约，是首家以股票指数为期货交易对象的交易所。在股指期货产生后，还出现了股票期货、多种金融工具交叉的期货品种等其他金融期货品种创新。</w:t>
      </w:r>
    </w:p>
    <w:p>
      <w:pPr>
        <w:spacing w:line="360" w:lineRule="auto"/>
        <w:ind w:firstLine="480" w:firstLineChars="200"/>
        <w:rPr>
          <w:rFonts w:ascii="仿宋" w:hAnsi="仿宋" w:cs="仿宋"/>
          <w:bCs/>
          <w:kern w:val="0"/>
        </w:rPr>
      </w:pPr>
    </w:p>
    <w:p>
      <w:pPr>
        <w:pStyle w:val="3"/>
        <w:rPr>
          <w:sz w:val="24"/>
          <w:szCs w:val="24"/>
        </w:rPr>
      </w:pPr>
      <w:bookmarkStart w:id="15" w:name="_Toc3896672"/>
      <w:bookmarkStart w:id="16" w:name="_Toc445043854"/>
      <w:r>
        <w:rPr>
          <w:rFonts w:hint="eastAsia"/>
          <w:sz w:val="24"/>
          <w:szCs w:val="24"/>
        </w:rPr>
        <w:t>二、期货市场组织结构</w:t>
      </w:r>
      <w:bookmarkEnd w:id="15"/>
      <w:bookmarkEnd w:id="16"/>
    </w:p>
    <w:p>
      <w:pPr>
        <w:pStyle w:val="21"/>
        <w:widowControl w:val="0"/>
        <w:tabs>
          <w:tab w:val="left" w:pos="360"/>
          <w:tab w:val="left" w:pos="720"/>
        </w:tabs>
        <w:spacing w:before="0" w:beforeAutospacing="0" w:after="0" w:afterAutospacing="0" w:line="360" w:lineRule="auto"/>
        <w:ind w:firstLine="480" w:firstLineChars="200"/>
        <w:jc w:val="both"/>
        <w:rPr>
          <w:rFonts w:ascii="仿宋" w:hAnsi="仿宋" w:cs="仿宋"/>
          <w:kern w:val="2"/>
          <w:szCs w:val="24"/>
        </w:rPr>
      </w:pPr>
      <w:r>
        <w:rPr>
          <w:rFonts w:hint="eastAsia" w:ascii="仿宋" w:hAnsi="仿宋" w:cs="仿宋"/>
          <w:kern w:val="2"/>
          <w:szCs w:val="24"/>
        </w:rPr>
        <w:t>期货市场由期货交易所、结算机构、中介与服务机构、交易者、期货监督管理机构和行业自律管理机构构成。其中，中介与服务机构包括期货公司、介绍经纪商、居间人、保证金安全存管银行、交割仓库等。</w:t>
      </w:r>
    </w:p>
    <w:p>
      <w:pPr>
        <w:pStyle w:val="4"/>
        <w:spacing w:before="0" w:after="0" w:line="360" w:lineRule="auto"/>
        <w:rPr>
          <w:rFonts w:ascii="仿宋" w:hAnsi="仿宋"/>
          <w:szCs w:val="24"/>
        </w:rPr>
      </w:pPr>
      <w:bookmarkStart w:id="17" w:name="_Toc445043855"/>
      <w:bookmarkStart w:id="18" w:name="_Toc3896673"/>
      <w:r>
        <w:rPr>
          <w:rFonts w:hint="eastAsia" w:ascii="仿宋" w:hAnsi="仿宋"/>
          <w:szCs w:val="24"/>
        </w:rPr>
        <w:t>（一）期货交易所的含义及职能</w:t>
      </w:r>
      <w:bookmarkEnd w:id="17"/>
      <w:bookmarkEnd w:id="18"/>
    </w:p>
    <w:p>
      <w:pPr>
        <w:pStyle w:val="21"/>
        <w:widowControl w:val="0"/>
        <w:tabs>
          <w:tab w:val="left" w:pos="360"/>
          <w:tab w:val="left" w:pos="720"/>
        </w:tabs>
        <w:spacing w:before="0" w:beforeAutospacing="0" w:after="0" w:afterAutospacing="0" w:line="360" w:lineRule="auto"/>
        <w:ind w:firstLine="480" w:firstLineChars="200"/>
        <w:jc w:val="both"/>
        <w:rPr>
          <w:rFonts w:ascii="仿宋" w:hAnsi="仿宋" w:cs="仿宋"/>
          <w:kern w:val="2"/>
          <w:szCs w:val="24"/>
        </w:rPr>
      </w:pPr>
      <w:r>
        <w:rPr>
          <w:rFonts w:hint="eastAsia" w:ascii="仿宋" w:hAnsi="仿宋" w:cs="仿宋"/>
          <w:kern w:val="2"/>
          <w:szCs w:val="24"/>
        </w:rPr>
        <w:t>期货交易所是为期货交易提供场所、设施、相关服务和交易规则的机构。它自身并不参与期货交易。</w:t>
      </w:r>
    </w:p>
    <w:p>
      <w:pPr>
        <w:pStyle w:val="21"/>
        <w:widowControl w:val="0"/>
        <w:tabs>
          <w:tab w:val="left" w:pos="360"/>
          <w:tab w:val="left" w:pos="720"/>
        </w:tabs>
        <w:spacing w:before="0" w:beforeAutospacing="0" w:after="0" w:afterAutospacing="0" w:line="360" w:lineRule="auto"/>
        <w:ind w:firstLine="480" w:firstLineChars="200"/>
        <w:jc w:val="both"/>
        <w:rPr>
          <w:rFonts w:ascii="仿宋" w:hAnsi="仿宋" w:cs="仿宋"/>
          <w:kern w:val="2"/>
          <w:szCs w:val="24"/>
        </w:rPr>
      </w:pPr>
      <w:r>
        <w:rPr>
          <w:rFonts w:hint="eastAsia" w:ascii="仿宋" w:hAnsi="仿宋" w:cs="仿宋"/>
          <w:kern w:val="2"/>
          <w:szCs w:val="24"/>
        </w:rPr>
        <w:t>主要职能包括：</w:t>
      </w:r>
      <w:r>
        <w:rPr>
          <w:rFonts w:ascii="仿宋" w:hAnsi="仿宋" w:cs="仿宋"/>
          <w:kern w:val="2"/>
          <w:szCs w:val="24"/>
        </w:rPr>
        <w:t>1.提供交易的场所、设施和服务；2.设计合约、安排合约上市；3.制定并实施期货市场制度与交易规则；4.组织并监督期货交易，监控市场风险；5.发布市场信息。</w:t>
      </w:r>
    </w:p>
    <w:p>
      <w:pPr>
        <w:pStyle w:val="4"/>
        <w:spacing w:before="0" w:after="0" w:line="360" w:lineRule="auto"/>
        <w:rPr>
          <w:rFonts w:ascii="仿宋" w:hAnsi="仿宋"/>
          <w:szCs w:val="24"/>
        </w:rPr>
      </w:pPr>
      <w:bookmarkStart w:id="19" w:name="_Toc445043856"/>
      <w:bookmarkStart w:id="20" w:name="_Toc3896674"/>
      <w:r>
        <w:rPr>
          <w:rFonts w:hint="eastAsia" w:ascii="仿宋" w:hAnsi="仿宋"/>
          <w:szCs w:val="24"/>
        </w:rPr>
        <w:t>（二）结算机构的含义及职能</w:t>
      </w:r>
      <w:bookmarkEnd w:id="19"/>
      <w:bookmarkEnd w:id="20"/>
    </w:p>
    <w:p>
      <w:pPr>
        <w:pStyle w:val="21"/>
        <w:widowControl w:val="0"/>
        <w:tabs>
          <w:tab w:val="left" w:pos="360"/>
          <w:tab w:val="left" w:pos="720"/>
        </w:tabs>
        <w:spacing w:before="0" w:beforeAutospacing="0" w:after="0" w:afterAutospacing="0" w:line="360" w:lineRule="auto"/>
        <w:ind w:firstLine="480" w:firstLineChars="200"/>
        <w:jc w:val="both"/>
        <w:rPr>
          <w:rFonts w:ascii="仿宋" w:hAnsi="仿宋" w:cs="仿宋"/>
          <w:kern w:val="2"/>
          <w:szCs w:val="24"/>
        </w:rPr>
      </w:pPr>
      <w:r>
        <w:rPr>
          <w:rFonts w:hint="eastAsia" w:ascii="仿宋" w:hAnsi="仿宋" w:cs="仿宋"/>
          <w:kern w:val="2"/>
          <w:szCs w:val="24"/>
        </w:rPr>
        <w:t>期货结算机构是负责交易所期货交易的统一结算、保证金管理和结算风险控制的机构。</w:t>
      </w:r>
    </w:p>
    <w:p>
      <w:pPr>
        <w:pStyle w:val="21"/>
        <w:widowControl w:val="0"/>
        <w:tabs>
          <w:tab w:val="left" w:pos="360"/>
          <w:tab w:val="left" w:pos="720"/>
        </w:tabs>
        <w:spacing w:before="0" w:beforeAutospacing="0" w:after="0" w:afterAutospacing="0" w:line="360" w:lineRule="auto"/>
        <w:ind w:firstLine="480" w:firstLineChars="200"/>
        <w:jc w:val="both"/>
        <w:rPr>
          <w:rFonts w:ascii="仿宋" w:hAnsi="仿宋" w:cs="仿宋"/>
          <w:kern w:val="2"/>
          <w:szCs w:val="24"/>
        </w:rPr>
      </w:pPr>
      <w:r>
        <w:rPr>
          <w:rFonts w:hint="eastAsia" w:ascii="仿宋" w:hAnsi="仿宋" w:cs="仿宋"/>
          <w:kern w:val="2"/>
          <w:szCs w:val="24"/>
        </w:rPr>
        <w:t>主要职能包括：担保交易履约、结算交易盈亏和控制市场风险。</w:t>
      </w:r>
    </w:p>
    <w:p>
      <w:pPr>
        <w:pStyle w:val="21"/>
        <w:widowControl w:val="0"/>
        <w:tabs>
          <w:tab w:val="left" w:pos="360"/>
          <w:tab w:val="left" w:pos="720"/>
        </w:tabs>
        <w:spacing w:before="0" w:beforeAutospacing="0" w:after="0" w:afterAutospacing="0" w:line="360" w:lineRule="auto"/>
        <w:ind w:firstLine="480" w:firstLineChars="200"/>
        <w:jc w:val="both"/>
        <w:rPr>
          <w:rFonts w:ascii="仿宋" w:hAnsi="仿宋" w:cs="仿宋"/>
          <w:kern w:val="2"/>
          <w:szCs w:val="24"/>
        </w:rPr>
      </w:pPr>
      <w:r>
        <w:rPr>
          <w:rFonts w:hint="eastAsia" w:ascii="仿宋" w:hAnsi="仿宋" w:cs="仿宋"/>
          <w:kern w:val="2"/>
          <w:szCs w:val="24"/>
        </w:rPr>
        <w:t>国际上，结算机构通常采用分级结算制度，即只有结算机构的会员才能直接得到结算机构提供的服务，非结算会员只能由结算会员提供结算服务。</w:t>
      </w:r>
    </w:p>
    <w:p>
      <w:pPr>
        <w:pStyle w:val="21"/>
        <w:widowControl w:val="0"/>
        <w:tabs>
          <w:tab w:val="left" w:pos="360"/>
          <w:tab w:val="left" w:pos="720"/>
        </w:tabs>
        <w:spacing w:before="0" w:beforeAutospacing="0" w:after="0" w:afterAutospacing="0" w:line="360" w:lineRule="auto"/>
        <w:ind w:firstLine="480" w:firstLineChars="200"/>
        <w:jc w:val="both"/>
        <w:rPr>
          <w:rFonts w:ascii="仿宋" w:hAnsi="仿宋" w:cs="仿宋"/>
          <w:kern w:val="2"/>
          <w:szCs w:val="24"/>
        </w:rPr>
      </w:pPr>
      <w:r>
        <w:rPr>
          <w:rFonts w:hint="eastAsia" w:ascii="仿宋" w:hAnsi="仿宋" w:cs="仿宋"/>
          <w:kern w:val="2"/>
          <w:szCs w:val="24"/>
        </w:rPr>
        <w:t>我国境内期货交易所的结算制度分为两种类型。</w:t>
      </w:r>
    </w:p>
    <w:p>
      <w:pPr>
        <w:spacing w:line="360" w:lineRule="auto"/>
        <w:ind w:firstLine="480" w:firstLineChars="200"/>
        <w:rPr>
          <w:rFonts w:ascii="仿宋" w:hAnsi="仿宋" w:cs="仿宋"/>
          <w:bCs/>
          <w:kern w:val="0"/>
        </w:rPr>
      </w:pPr>
      <w:r>
        <w:rPr>
          <w:rFonts w:hint="eastAsia" w:ascii="仿宋" w:hAnsi="仿宋" w:cs="仿宋"/>
          <w:bCs/>
          <w:kern w:val="0"/>
        </w:rPr>
        <w:t>一种是全员结算制度。即期货交易所会员均具有与期货交易所进行结算的资格。在该制度下，期货交易所对会员结算，会员对其受托的客户结算。实行这一结算制度的有上海期货交易所、郑州商品交易所和大连商品交易所。</w:t>
      </w:r>
    </w:p>
    <w:p>
      <w:pPr>
        <w:pStyle w:val="21"/>
        <w:tabs>
          <w:tab w:val="left" w:pos="360"/>
          <w:tab w:val="left" w:pos="720"/>
        </w:tabs>
        <w:spacing w:before="0" w:beforeAutospacing="0" w:after="0" w:afterAutospacing="0" w:line="360" w:lineRule="auto"/>
        <w:ind w:firstLine="480" w:firstLineChars="200"/>
        <w:rPr>
          <w:rFonts w:ascii="仿宋" w:hAnsi="仿宋" w:cs="仿宋"/>
          <w:bCs/>
          <w:szCs w:val="24"/>
        </w:rPr>
      </w:pPr>
      <w:r>
        <w:rPr>
          <w:rFonts w:hint="eastAsia" w:ascii="仿宋" w:hAnsi="仿宋" w:cs="仿宋"/>
          <w:bCs/>
          <w:szCs w:val="24"/>
        </w:rPr>
        <w:t>另一种是会员分级结算制度。即期货交易所会员由结算会员和非结算会员组成。结算会员可以从事结算业务，具有与交易所进行结算的资格；非结算会员不具有与期货交易所进行结算的资格。期货交易所对结算会员结算，结算会员对非结算会员结算，非结算会员对其受托的客户结算。实行这一结算制度的是中国金融期货交易所。</w:t>
      </w:r>
    </w:p>
    <w:p>
      <w:pPr>
        <w:pStyle w:val="4"/>
        <w:spacing w:before="0" w:after="0" w:line="360" w:lineRule="auto"/>
        <w:rPr>
          <w:rFonts w:ascii="仿宋" w:hAnsi="仿宋"/>
          <w:szCs w:val="24"/>
        </w:rPr>
      </w:pPr>
      <w:bookmarkStart w:id="21" w:name="_Toc445043857"/>
      <w:bookmarkStart w:id="22" w:name="_Toc3896675"/>
      <w:r>
        <w:rPr>
          <w:rFonts w:hint="eastAsia" w:ascii="仿宋" w:hAnsi="仿宋"/>
          <w:szCs w:val="24"/>
        </w:rPr>
        <w:t>（三）期货公司的含义及职能</w:t>
      </w:r>
      <w:bookmarkEnd w:id="21"/>
      <w:bookmarkEnd w:id="22"/>
    </w:p>
    <w:p>
      <w:pPr>
        <w:pStyle w:val="21"/>
        <w:tabs>
          <w:tab w:val="left" w:pos="360"/>
          <w:tab w:val="left" w:pos="720"/>
        </w:tabs>
        <w:spacing w:before="0" w:beforeAutospacing="0" w:after="0" w:afterAutospacing="0" w:line="360" w:lineRule="auto"/>
        <w:ind w:firstLine="480" w:firstLineChars="200"/>
        <w:rPr>
          <w:rFonts w:ascii="仿宋" w:hAnsi="仿宋" w:cs="仿宋"/>
          <w:bCs/>
          <w:szCs w:val="24"/>
        </w:rPr>
      </w:pPr>
      <w:r>
        <w:rPr>
          <w:rFonts w:hint="eastAsia" w:ascii="仿宋" w:hAnsi="仿宋" w:cs="仿宋"/>
          <w:bCs/>
          <w:szCs w:val="24"/>
        </w:rPr>
        <w:t>期货公司是指代理客户进行期货交易并收取交易佣金的中介机构。期货公司作为场外期货交易者与期货交易所之间的桥梁和纽带，属于非银行金融服务机构。</w:t>
      </w:r>
    </w:p>
    <w:p>
      <w:pPr>
        <w:pStyle w:val="21"/>
        <w:tabs>
          <w:tab w:val="left" w:pos="360"/>
          <w:tab w:val="left" w:pos="720"/>
        </w:tabs>
        <w:spacing w:before="0" w:beforeAutospacing="0" w:after="0" w:afterAutospacing="0" w:line="360" w:lineRule="auto"/>
        <w:ind w:firstLine="480" w:firstLineChars="200"/>
        <w:rPr>
          <w:rFonts w:hint="eastAsia" w:ascii="仿宋" w:hAnsi="仿宋" w:eastAsia="仿宋" w:cs="仿宋"/>
          <w:kern w:val="0"/>
          <w:sz w:val="24"/>
          <w:szCs w:val="24"/>
          <w:lang w:val="en-US" w:eastAsia="zh-CN" w:bidi="ar-SA"/>
        </w:rPr>
      </w:pPr>
      <w:r>
        <w:rPr>
          <w:rFonts w:hint="eastAsia" w:ascii="仿宋" w:hAnsi="仿宋" w:cs="仿宋"/>
          <w:bCs/>
          <w:szCs w:val="24"/>
        </w:rPr>
        <w:t>主要职能包括：根据客户指令代理买卖期货合约、办理结算和交割手续；对客户账户进行管理，控制客户交易风险；为客户提供期货市场信息，进行期货交易</w:t>
      </w:r>
      <w:r>
        <w:rPr>
          <w:rFonts w:hint="eastAsia" w:ascii="仿宋" w:hAnsi="仿宋" w:eastAsia="仿宋" w:cs="仿宋"/>
          <w:kern w:val="0"/>
          <w:sz w:val="24"/>
          <w:szCs w:val="24"/>
          <w:lang w:val="en-US" w:eastAsia="zh-CN" w:bidi="ar-SA"/>
        </w:rPr>
        <w:t>咨询，充当客户的交易顾问等。</w:t>
      </w:r>
    </w:p>
    <w:p>
      <w:pPr>
        <w:pStyle w:val="4"/>
        <w:spacing w:before="0" w:after="0" w:line="360" w:lineRule="auto"/>
        <w:rPr>
          <w:rFonts w:hint="eastAsia" w:ascii="仿宋" w:hAnsi="仿宋" w:eastAsia="仿宋" w:cs="仿宋"/>
          <w:kern w:val="0"/>
          <w:sz w:val="24"/>
          <w:szCs w:val="24"/>
          <w:lang w:val="en-US" w:eastAsia="zh-CN" w:bidi="ar-SA"/>
        </w:rPr>
      </w:pPr>
      <w:bookmarkStart w:id="23" w:name="_Toc445043858"/>
      <w:bookmarkStart w:id="24" w:name="_Toc3896676"/>
      <w:r>
        <w:rPr>
          <w:rFonts w:hint="eastAsia" w:ascii="仿宋" w:hAnsi="仿宋" w:eastAsia="仿宋" w:cs="仿宋"/>
          <w:kern w:val="0"/>
          <w:sz w:val="24"/>
          <w:szCs w:val="24"/>
          <w:lang w:val="en-US" w:eastAsia="zh-CN" w:bidi="ar-SA"/>
        </w:rPr>
        <w:t>（四）其它中介与服务机构</w:t>
      </w:r>
      <w:bookmarkEnd w:id="23"/>
      <w:bookmarkEnd w:id="24"/>
    </w:p>
    <w:p>
      <w:pP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ab/>
      </w:r>
      <w:r>
        <w:rPr>
          <w:rFonts w:hint="eastAsia" w:ascii="仿宋" w:hAnsi="仿宋" w:eastAsia="仿宋" w:cs="仿宋"/>
          <w:kern w:val="0"/>
          <w:sz w:val="24"/>
          <w:szCs w:val="24"/>
          <w:lang w:val="en-US" w:eastAsia="zh-CN" w:bidi="ar-SA"/>
        </w:rPr>
        <w:t>其它中介服务机构主要有交割仓库、居间人、介绍经纪商、期货保证金存管银行等。</w:t>
      </w:r>
    </w:p>
    <w:p>
      <w:pPr>
        <w:spacing w:line="360" w:lineRule="auto"/>
        <w:ind w:firstLine="480" w:firstLineChars="200"/>
        <w:rPr>
          <w:rFonts w:ascii="仿宋" w:hAnsi="仿宋" w:cs="仿宋"/>
          <w:kern w:val="0"/>
        </w:rPr>
      </w:pPr>
      <w:r>
        <w:rPr>
          <w:rFonts w:hint="eastAsia" w:ascii="仿宋" w:hAnsi="仿宋" w:eastAsia="仿宋" w:cs="仿宋"/>
          <w:kern w:val="0"/>
          <w:sz w:val="24"/>
          <w:szCs w:val="24"/>
          <w:lang w:val="en-US" w:eastAsia="zh-CN" w:bidi="ar-SA"/>
        </w:rPr>
        <w:t>交割仓库是期货品种进入实物交割环节提供交割服务和生成标准仓单必经的期货服务机构。在</w:t>
      </w:r>
      <w:r>
        <w:rPr>
          <w:rFonts w:hint="eastAsia" w:ascii="仿宋" w:hAnsi="仿宋" w:cs="仿宋"/>
          <w:kern w:val="0"/>
        </w:rPr>
        <w:t>我国，交割仓库，也称为指定交割仓库，是指由期货交易所指定的、经交易所审定注册的、为期货合约履行实物交割的指定交割地点。期货交易的交割，由期货交易所统一组织进行。期货交易所不得限制实物交割总量，并应当与交割仓库签订协议，明</w:t>
      </w:r>
      <w:bookmarkStart w:id="744" w:name="_GoBack"/>
      <w:bookmarkEnd w:id="744"/>
      <w:r>
        <w:rPr>
          <w:rFonts w:hint="eastAsia" w:ascii="仿宋" w:hAnsi="仿宋" w:cs="仿宋"/>
          <w:kern w:val="0"/>
        </w:rPr>
        <w:t>确双方的权利和义务。指定交割仓库的日常业务分为三个阶段：商品入库、商品保管和商品出库。指定交割仓库应保证期货交割商品优先办理入、出库。交割仓库不得有下列行为：出具虚假仓单；违反期货交易所业务规则，限制交割商品的入库、出库；泄露与期货交易有关的商业秘密；违反国家有关规定参与期货交易；国务院期货监督管理机构规定的其他行为。</w:t>
      </w:r>
    </w:p>
    <w:p>
      <w:pPr>
        <w:spacing w:line="360" w:lineRule="auto"/>
        <w:ind w:firstLine="480" w:firstLineChars="200"/>
        <w:rPr>
          <w:rFonts w:ascii="仿宋" w:hAnsi="仿宋" w:cs="仿宋"/>
        </w:rPr>
      </w:pPr>
      <w:r>
        <w:rPr>
          <w:rFonts w:hint="eastAsia" w:ascii="仿宋" w:hAnsi="仿宋" w:cs="仿宋"/>
        </w:rPr>
        <w:t>目前我国期货公司运作中，使用期货居间人进行客户开发是一条重要的渠道。期货居间人是指独立于期货公司和客户之外，接受期货公司委托进行居间介绍，独立承担基于居间法律关系所产生的民事责任的自然人或组织。其主要职责是介绍客户，即凭借手中的客户资源和信息渠道优势为期货公司和投资者“牵线搭桥”。居间人因从事居间活动付出的劳务，有按合同约定向公司获取酬金的权利。居间人从事居间介绍业务时，应当客观、准确地宣传期货市场，不得向客户夸大收益宣传降低风险告知、以期货居间人的名义从事期货居间以外的经纪活动等。居间人无权代理签订《期货经纪合同》，无权代签交易月账单，无权代理客户委托下达交易指令，无权代理客户委托调拨资金</w:t>
      </w:r>
      <w:r>
        <w:rPr>
          <w:rFonts w:ascii="仿宋" w:hAnsi="仿宋" w:cs="仿宋"/>
        </w:rPr>
        <w:t>,不能从事投资咨询和代理交易等期货交易活动。需要注意的是，居间人与期货公司没有隶属关系，不是期货公司所订立期货经纪合同的当事人。而且，期货公司的在职人员不得成为本公司和其他期货公司的居间人。</w:t>
      </w:r>
    </w:p>
    <w:p>
      <w:pPr>
        <w:pStyle w:val="21"/>
        <w:widowControl w:val="0"/>
        <w:tabs>
          <w:tab w:val="left" w:pos="360"/>
          <w:tab w:val="left" w:pos="720"/>
        </w:tabs>
        <w:spacing w:before="0" w:beforeAutospacing="0" w:after="0" w:afterAutospacing="0" w:line="360" w:lineRule="auto"/>
        <w:ind w:firstLine="480" w:firstLineChars="200"/>
        <w:jc w:val="both"/>
        <w:rPr>
          <w:rFonts w:ascii="仿宋" w:hAnsi="仿宋" w:cs="仿宋"/>
          <w:szCs w:val="24"/>
        </w:rPr>
      </w:pPr>
      <w:r>
        <w:rPr>
          <w:rFonts w:hint="eastAsia" w:ascii="仿宋" w:hAnsi="仿宋" w:cs="仿宋"/>
          <w:szCs w:val="24"/>
        </w:rPr>
        <w:t>介绍经纪商（</w:t>
      </w:r>
      <w:r>
        <w:rPr>
          <w:rFonts w:ascii="仿宋" w:hAnsi="仿宋" w:cs="仿宋"/>
          <w:szCs w:val="24"/>
        </w:rPr>
        <w:t>Introducing Broker，简称IB）在国际上既可以是机构也可</w:t>
      </w:r>
      <w:r>
        <w:rPr>
          <w:rFonts w:hint="eastAsia" w:ascii="仿宋" w:hAnsi="仿宋" w:cs="仿宋"/>
          <w:szCs w:val="24"/>
        </w:rPr>
        <w:t>以是个人，但一般都以机构的形式存在。其主要业务是为期货公司开发客户或接受期货、期权指令，但不能接受客户的资金，且必须通过期货公司进行结算。在我国，为期货公司提供中间介绍业务的证券公司就是介绍经纪商。证券公司将客户介绍给期货公司，并为客户开展期货交易提供一定的服务，期货公司因此向证券公司支付一定的佣金。根据《证券公司为期货公司提供中间介绍业务试行办法》，证券公司受期货公司委托从事中间介绍业务，应当提供下列服务：（</w:t>
      </w:r>
      <w:r>
        <w:rPr>
          <w:rFonts w:ascii="仿宋" w:hAnsi="仿宋" w:cs="仿宋"/>
          <w:szCs w:val="24"/>
        </w:rPr>
        <w:t>1）协助办理开户手续；（2）提供期货行情信息和交易设施；（3）中国证监会规定的其他服务。证券公司不得代理客户进行期货交易、结算或交割，不得代期货公司、客户收付期货保证金，不得利用证券资金账户为客户存取、划转期货保证金。证券公司从事介绍业务，应当与期货公司签订书面委托协议。委托协议应当载明下列事项：介绍业务的范围；执行期货保证金安全存管制度的措施；介绍业务对接规则；客户投诉的接待处理方式；报酬支付及相关费用的分担方式；违约责任；中国证监会规定的其他事项。证券公司只能接受其全资拥有或者控股的、或者被同一机构控制的期货公司的委托从事介绍业务，不能接受其他期货公司的委托从事介绍业务。</w:t>
      </w:r>
    </w:p>
    <w:p>
      <w:pPr>
        <w:spacing w:line="360" w:lineRule="auto"/>
        <w:ind w:firstLine="480" w:firstLineChars="200"/>
        <w:rPr>
          <w:rFonts w:ascii="仿宋" w:hAnsi="仿宋" w:cs="仿宋"/>
        </w:rPr>
      </w:pPr>
      <w:r>
        <w:rPr>
          <w:rFonts w:hint="eastAsia" w:ascii="仿宋" w:hAnsi="仿宋" w:cs="仿宋"/>
        </w:rPr>
        <w:t>期货保证金存管银行（简称存管银行）属于期货服务机构，是由交易所指定，协助交易所办理期货交易结算业务的银行。经交易所同意成为存管银行后，存管银行须与交易所签订相应协议，明确双方的权利和义务，以规范相关业务行为。交易所有权对存管银行的期货结算业务进行监督。期货保证金存管银行的设立是国内期货市场保证金封闭运行的必要环节，也是保障投资者资金安全的重要组织机构。</w:t>
      </w:r>
    </w:p>
    <w:p>
      <w:pPr>
        <w:spacing w:line="360" w:lineRule="auto"/>
        <w:ind w:firstLine="480" w:firstLineChars="200"/>
        <w:rPr>
          <w:rFonts w:ascii="仿宋" w:hAnsi="仿宋" w:cs="仿宋"/>
        </w:rPr>
      </w:pPr>
    </w:p>
    <w:p>
      <w:pPr>
        <w:pStyle w:val="3"/>
        <w:rPr>
          <w:sz w:val="24"/>
          <w:szCs w:val="24"/>
        </w:rPr>
      </w:pPr>
      <w:bookmarkStart w:id="25" w:name="_Toc445043859"/>
      <w:bookmarkStart w:id="26" w:name="_Toc3896677"/>
      <w:r>
        <w:rPr>
          <w:rFonts w:hint="eastAsia"/>
          <w:sz w:val="24"/>
          <w:szCs w:val="24"/>
        </w:rPr>
        <w:t>三、期货合约、交易制度和交易流程</w:t>
      </w:r>
      <w:bookmarkEnd w:id="25"/>
      <w:bookmarkEnd w:id="26"/>
    </w:p>
    <w:p>
      <w:pPr>
        <w:pStyle w:val="4"/>
        <w:spacing w:before="0" w:after="0" w:line="360" w:lineRule="auto"/>
        <w:rPr>
          <w:rFonts w:ascii="仿宋" w:hAnsi="仿宋"/>
          <w:szCs w:val="24"/>
        </w:rPr>
      </w:pPr>
      <w:bookmarkStart w:id="27" w:name="_Toc445043860"/>
      <w:bookmarkStart w:id="28" w:name="_Toc3896678"/>
      <w:r>
        <w:rPr>
          <w:rFonts w:hint="eastAsia" w:ascii="仿宋" w:hAnsi="仿宋"/>
          <w:szCs w:val="24"/>
        </w:rPr>
        <w:t>（一）期货合约</w:t>
      </w:r>
      <w:bookmarkEnd w:id="27"/>
      <w:bookmarkEnd w:id="28"/>
    </w:p>
    <w:p>
      <w:pPr>
        <w:spacing w:line="360" w:lineRule="auto"/>
        <w:ind w:firstLine="480" w:firstLineChars="200"/>
        <w:rPr>
          <w:rFonts w:ascii="仿宋" w:hAnsi="仿宋"/>
          <w:bCs/>
          <w:kern w:val="0"/>
        </w:rPr>
      </w:pPr>
      <w:r>
        <w:rPr>
          <w:rFonts w:hint="eastAsia" w:ascii="仿宋" w:hAnsi="仿宋"/>
          <w:bCs/>
          <w:kern w:val="0"/>
        </w:rPr>
        <w:t>期货合约所包含的主要条款以及交易单位、报价单位、最小变动价位、每日价格最大波动限制、合约交割月份等主要条款的含义。</w:t>
      </w:r>
    </w:p>
    <w:p>
      <w:pPr>
        <w:spacing w:line="360" w:lineRule="auto"/>
        <w:ind w:firstLine="480" w:firstLineChars="200"/>
        <w:rPr>
          <w:rFonts w:ascii="仿宋" w:hAnsi="仿宋"/>
          <w:bCs/>
          <w:kern w:val="0"/>
        </w:rPr>
      </w:pPr>
      <w:r>
        <w:rPr>
          <w:rFonts w:hint="eastAsia" w:ascii="仿宋" w:hAnsi="仿宋"/>
          <w:bCs/>
          <w:kern w:val="0"/>
        </w:rPr>
        <w:t>期货合约包含的条款包括：交易单位、报价单位、最小变动价位、每日价格最大波动限制、合约交割月份、交易时间、最后交易日、交割日期、交割品级、交割地点、最低交易保证金、交易手续费、交割方式等。</w:t>
      </w:r>
    </w:p>
    <w:p>
      <w:pPr>
        <w:spacing w:line="360" w:lineRule="auto"/>
        <w:ind w:firstLine="480" w:firstLineChars="200"/>
        <w:rPr>
          <w:rFonts w:ascii="仿宋" w:hAnsi="仿宋"/>
          <w:bCs/>
          <w:kern w:val="0"/>
        </w:rPr>
      </w:pPr>
      <w:r>
        <w:rPr>
          <w:rFonts w:ascii="仿宋" w:hAnsi="仿宋"/>
          <w:bCs/>
          <w:kern w:val="0"/>
        </w:rPr>
        <w:t>1.交易单位，也称为合约规模，是指每手期货合约代表的标的物的数量。合约价值是指每手期货合约代表的标的物的价值。</w:t>
      </w:r>
    </w:p>
    <w:p>
      <w:pPr>
        <w:spacing w:line="360" w:lineRule="auto"/>
        <w:ind w:firstLine="480" w:firstLineChars="200"/>
        <w:rPr>
          <w:rFonts w:ascii="仿宋" w:hAnsi="仿宋"/>
          <w:bCs/>
          <w:kern w:val="0"/>
        </w:rPr>
      </w:pPr>
      <w:r>
        <w:rPr>
          <w:rFonts w:ascii="仿宋" w:hAnsi="仿宋"/>
          <w:bCs/>
          <w:kern w:val="0"/>
        </w:rPr>
        <w:t>2.报价单位，是指在公开竞价过程中对期货合约报价所使用的单位，即每计量单位的货币价格。</w:t>
      </w:r>
    </w:p>
    <w:p>
      <w:pPr>
        <w:spacing w:line="360" w:lineRule="auto"/>
        <w:ind w:firstLine="480" w:firstLineChars="200"/>
        <w:rPr>
          <w:rFonts w:ascii="仿宋" w:hAnsi="仿宋"/>
          <w:bCs/>
          <w:kern w:val="0"/>
        </w:rPr>
      </w:pPr>
      <w:r>
        <w:rPr>
          <w:rFonts w:ascii="仿宋" w:hAnsi="仿宋"/>
          <w:bCs/>
          <w:kern w:val="0"/>
        </w:rPr>
        <w:t>3.最小变动价位和最小变动价位，最小变动价位是指在期货交易所的公开竞价过程中，对合约每计量单位报价的最小变动数值，在期货交易中，每次报价的最小变动数值必须是最小变动价位的整数</w:t>
      </w:r>
      <w:r>
        <w:rPr>
          <w:rFonts w:hint="eastAsia" w:ascii="仿宋" w:hAnsi="仿宋"/>
          <w:bCs/>
          <w:kern w:val="0"/>
        </w:rPr>
        <w:t>倍。</w:t>
      </w:r>
    </w:p>
    <w:p>
      <w:pPr>
        <w:spacing w:line="360" w:lineRule="auto"/>
        <w:ind w:firstLine="480" w:firstLineChars="200"/>
        <w:rPr>
          <w:rFonts w:ascii="仿宋" w:hAnsi="仿宋"/>
          <w:bCs/>
          <w:kern w:val="0"/>
        </w:rPr>
      </w:pPr>
      <w:r>
        <w:rPr>
          <w:rFonts w:hint="eastAsia" w:ascii="仿宋" w:hAnsi="仿宋"/>
          <w:bCs/>
          <w:kern w:val="0"/>
        </w:rPr>
        <w:t>最小变动值等于最小变动价位乘以交易单位。</w:t>
      </w:r>
    </w:p>
    <w:p>
      <w:pPr>
        <w:spacing w:line="360" w:lineRule="auto"/>
        <w:ind w:firstLine="480" w:firstLineChars="200"/>
        <w:rPr>
          <w:rFonts w:ascii="仿宋" w:hAnsi="仿宋"/>
          <w:bCs/>
          <w:kern w:val="0"/>
        </w:rPr>
      </w:pPr>
      <w:r>
        <w:rPr>
          <w:rFonts w:ascii="仿宋" w:hAnsi="仿宋"/>
          <w:bCs/>
          <w:kern w:val="0"/>
        </w:rPr>
        <w:t>4.每日价格最大波动限制，是指期货合约在一个交易日中的交易价格波动不得高于或者低于规定的涨跌幅度。每日价格最大波动限制一般是以合约上一交易日的结算价为基准确定的。</w:t>
      </w:r>
    </w:p>
    <w:p>
      <w:pPr>
        <w:spacing w:line="360" w:lineRule="auto"/>
        <w:ind w:firstLine="480" w:firstLineChars="200"/>
        <w:rPr>
          <w:rFonts w:ascii="仿宋" w:hAnsi="仿宋"/>
          <w:bCs/>
          <w:kern w:val="0"/>
        </w:rPr>
      </w:pPr>
      <w:r>
        <w:rPr>
          <w:rFonts w:ascii="仿宋" w:hAnsi="仿宋"/>
          <w:bCs/>
          <w:kern w:val="0"/>
        </w:rPr>
        <w:t>5.合约交割月份是指某种期货合约到期交割的月份。</w:t>
      </w:r>
    </w:p>
    <w:p>
      <w:pPr>
        <w:pStyle w:val="4"/>
        <w:spacing w:before="0" w:after="0" w:line="360" w:lineRule="auto"/>
        <w:rPr>
          <w:rFonts w:ascii="仿宋" w:hAnsi="仿宋"/>
          <w:szCs w:val="24"/>
        </w:rPr>
      </w:pPr>
      <w:bookmarkStart w:id="29" w:name="_Toc445043861"/>
      <w:bookmarkStart w:id="30" w:name="_Toc3896679"/>
      <w:r>
        <w:rPr>
          <w:rFonts w:hint="eastAsia" w:ascii="仿宋" w:hAnsi="仿宋"/>
          <w:szCs w:val="24"/>
        </w:rPr>
        <w:t>（二）期货交易制度</w:t>
      </w:r>
      <w:bookmarkEnd w:id="29"/>
      <w:bookmarkEnd w:id="30"/>
    </w:p>
    <w:p>
      <w:pPr>
        <w:spacing w:line="360" w:lineRule="auto"/>
        <w:ind w:firstLine="480" w:firstLineChars="200"/>
        <w:rPr>
          <w:rFonts w:ascii="仿宋" w:hAnsi="仿宋"/>
          <w:bCs/>
          <w:kern w:val="0"/>
        </w:rPr>
      </w:pPr>
      <w:r>
        <w:rPr>
          <w:rFonts w:hint="eastAsia" w:ascii="仿宋" w:hAnsi="仿宋"/>
          <w:bCs/>
          <w:kern w:val="0"/>
        </w:rPr>
        <w:t>期货市场主要的风险控制制度及主要风险控制制度的含义、作用等内容。</w:t>
      </w:r>
    </w:p>
    <w:p>
      <w:pPr>
        <w:spacing w:line="360" w:lineRule="auto"/>
        <w:ind w:firstLine="480" w:firstLineChars="200"/>
        <w:rPr>
          <w:rFonts w:ascii="仿宋" w:hAnsi="仿宋"/>
          <w:bCs/>
          <w:kern w:val="0"/>
        </w:rPr>
      </w:pPr>
      <w:r>
        <w:rPr>
          <w:rFonts w:hint="eastAsia" w:ascii="仿宋" w:hAnsi="仿宋"/>
          <w:bCs/>
          <w:kern w:val="0"/>
        </w:rPr>
        <w:t>期货市场主要的风险控制制度，包括保证金制度、当日无负债结算制度、强行平仓制度、涨跌停板制度、持仓限额制度和大户报告制度、套期保值审批制度等。</w:t>
      </w:r>
    </w:p>
    <w:p>
      <w:pPr>
        <w:spacing w:line="360" w:lineRule="auto"/>
        <w:ind w:firstLine="480" w:firstLineChars="200"/>
        <w:rPr>
          <w:rFonts w:ascii="仿宋" w:hAnsi="仿宋"/>
          <w:bCs/>
          <w:kern w:val="0"/>
        </w:rPr>
      </w:pPr>
      <w:r>
        <w:rPr>
          <w:rFonts w:ascii="仿宋" w:hAnsi="仿宋"/>
          <w:bCs/>
          <w:kern w:val="0"/>
        </w:rPr>
        <w:t>1</w:t>
      </w:r>
      <w:r>
        <w:rPr>
          <w:rFonts w:hint="eastAsia" w:ascii="仿宋" w:hAnsi="仿宋"/>
          <w:bCs/>
          <w:kern w:val="0"/>
        </w:rPr>
        <w:t>、</w:t>
      </w:r>
      <w:r>
        <w:rPr>
          <w:rFonts w:ascii="仿宋" w:hAnsi="仿宋"/>
          <w:bCs/>
          <w:kern w:val="0"/>
        </w:rPr>
        <w:t>期货保证金的含义、作用、特点和类型</w:t>
      </w:r>
    </w:p>
    <w:p>
      <w:pPr>
        <w:spacing w:line="360" w:lineRule="auto"/>
        <w:ind w:firstLine="480" w:firstLineChars="200"/>
        <w:rPr>
          <w:rFonts w:ascii="仿宋" w:hAnsi="仿宋"/>
          <w:bCs/>
          <w:kern w:val="0"/>
        </w:rPr>
      </w:pPr>
      <w:r>
        <w:rPr>
          <w:rFonts w:hint="eastAsia" w:ascii="仿宋" w:hAnsi="仿宋"/>
          <w:bCs/>
          <w:kern w:val="0"/>
        </w:rPr>
        <w:t>期货保证金是指在期货交易中，期货买方和卖方按照其所买卖期货合约价值的一定比率（通常为</w:t>
      </w:r>
      <w:r>
        <w:rPr>
          <w:rFonts w:ascii="仿宋" w:hAnsi="仿宋"/>
          <w:bCs/>
          <w:kern w:val="0"/>
        </w:rPr>
        <w:t>5%～</w:t>
      </w:r>
      <w:r>
        <w:rPr>
          <w:rFonts w:hint="eastAsia" w:ascii="仿宋" w:hAnsi="仿宋"/>
          <w:bCs/>
          <w:kern w:val="0"/>
        </w:rPr>
        <w:t>20</w:t>
      </w:r>
      <w:r>
        <w:rPr>
          <w:rFonts w:ascii="仿宋" w:hAnsi="仿宋"/>
          <w:bCs/>
          <w:kern w:val="0"/>
        </w:rPr>
        <w:t>%）缴纳的资金，用于结算和保证履约。保证金制度是期货市场风险管理的重要手段。</w:t>
      </w:r>
    </w:p>
    <w:p>
      <w:pPr>
        <w:spacing w:line="360" w:lineRule="auto"/>
        <w:ind w:firstLine="480" w:firstLineChars="200"/>
        <w:rPr>
          <w:rFonts w:ascii="仿宋" w:hAnsi="仿宋"/>
          <w:bCs/>
          <w:kern w:val="0"/>
        </w:rPr>
      </w:pPr>
      <w:r>
        <w:rPr>
          <w:rFonts w:hint="eastAsia" w:ascii="仿宋" w:hAnsi="仿宋"/>
          <w:bCs/>
          <w:kern w:val="0"/>
        </w:rPr>
        <w:t>我国期货交易保证金制度的特点</w:t>
      </w:r>
      <w:r>
        <w:rPr>
          <w:rFonts w:ascii="仿宋" w:hAnsi="仿宋"/>
          <w:bCs/>
          <w:kern w:val="0"/>
        </w:rPr>
        <w:t xml:space="preserve">: </w:t>
      </w:r>
      <w:r>
        <w:rPr>
          <w:rFonts w:hint="eastAsia" w:ascii="仿宋" w:hAnsi="仿宋"/>
          <w:bCs/>
          <w:kern w:val="0"/>
        </w:rPr>
        <w:t>对期货合约上市运行的不同阶段规定不同的交易保证金比率；随着合约持仓量的增大，交易所将逐步提高该合约交易保证金比例；当某期货合约出现连续涨跌停板的情况时，交易保证金比率相应提高；当某品种某月份合约按结算价计算的价格变化，连续若干个交易日的累积涨跌幅达到一定程度时，交易所有权根据市场情况，对部分或全部会员的单边或双边、同比例或不同比例提高交易保证金，限制部分会员或全部会员出金，暂停部分会员或全部会员开新仓，调整涨跌停板幅度，限期平仓，强行平仓等一种或多种措施，以控制风险；当某期货合约交易出现异常情况时，交易所可按规定的程序调整交易保证金的比例。</w:t>
      </w:r>
    </w:p>
    <w:p>
      <w:pPr>
        <w:spacing w:line="360" w:lineRule="auto"/>
        <w:ind w:firstLine="480" w:firstLineChars="200"/>
        <w:rPr>
          <w:rFonts w:ascii="仿宋" w:hAnsi="仿宋"/>
          <w:bCs/>
          <w:kern w:val="0"/>
        </w:rPr>
      </w:pPr>
      <w:r>
        <w:rPr>
          <w:rFonts w:hint="eastAsia" w:ascii="仿宋" w:hAnsi="仿宋"/>
          <w:bCs/>
          <w:kern w:val="0"/>
        </w:rPr>
        <w:t>在我国，保证金可以分为结算准备金和交易保证金。</w:t>
      </w:r>
      <w:r>
        <w:rPr>
          <w:rFonts w:ascii="仿宋" w:hAnsi="仿宋"/>
          <w:bCs/>
          <w:kern w:val="0"/>
        </w:rPr>
        <w:t xml:space="preserve"> </w:t>
      </w:r>
    </w:p>
    <w:p>
      <w:pPr>
        <w:spacing w:line="360" w:lineRule="auto"/>
        <w:ind w:firstLine="480" w:firstLineChars="200"/>
        <w:rPr>
          <w:rFonts w:ascii="仿宋" w:hAnsi="仿宋"/>
          <w:bCs/>
          <w:kern w:val="0"/>
        </w:rPr>
      </w:pPr>
      <w:r>
        <w:rPr>
          <w:rFonts w:hint="eastAsia" w:ascii="仿宋" w:hAnsi="仿宋"/>
          <w:bCs/>
          <w:kern w:val="0"/>
        </w:rPr>
        <w:t>结算准备金是交易所会员（客户）为了交易结算，在交易所（期货公司）专用结算账户预先准备的资金，是未被合约占用的保证金；交易保证金是会员（客户）在交易所（期货公司）专用结算账户中确保合约履行的资金，是已被合约占用的保证金。</w:t>
      </w:r>
    </w:p>
    <w:p>
      <w:pPr>
        <w:spacing w:line="360" w:lineRule="auto"/>
        <w:ind w:firstLine="480" w:firstLineChars="200"/>
        <w:rPr>
          <w:rFonts w:ascii="仿宋" w:hAnsi="仿宋"/>
          <w:bCs/>
          <w:kern w:val="0"/>
        </w:rPr>
      </w:pPr>
      <w:r>
        <w:rPr>
          <w:rFonts w:ascii="仿宋" w:hAnsi="仿宋"/>
          <w:bCs/>
          <w:kern w:val="0"/>
        </w:rPr>
        <w:t>2</w:t>
      </w:r>
      <w:r>
        <w:rPr>
          <w:rFonts w:hint="eastAsia" w:ascii="仿宋" w:hAnsi="仿宋"/>
          <w:bCs/>
          <w:kern w:val="0"/>
        </w:rPr>
        <w:t>、</w:t>
      </w:r>
      <w:r>
        <w:rPr>
          <w:rFonts w:ascii="仿宋" w:hAnsi="仿宋"/>
          <w:bCs/>
          <w:kern w:val="0"/>
        </w:rPr>
        <w:t>当日</w:t>
      </w:r>
      <w:r>
        <w:rPr>
          <w:rFonts w:hint="eastAsia" w:ascii="仿宋" w:hAnsi="仿宋"/>
          <w:bCs/>
          <w:kern w:val="0"/>
        </w:rPr>
        <w:t>无负责结算制度的含义和结算程序</w:t>
      </w:r>
    </w:p>
    <w:p>
      <w:pPr>
        <w:spacing w:line="360" w:lineRule="auto"/>
        <w:ind w:firstLine="480" w:firstLineChars="200"/>
        <w:rPr>
          <w:rFonts w:ascii="仿宋" w:hAnsi="仿宋"/>
          <w:bCs/>
          <w:kern w:val="0"/>
        </w:rPr>
      </w:pPr>
      <w:r>
        <w:rPr>
          <w:rFonts w:hint="eastAsia" w:ascii="仿宋" w:hAnsi="仿宋"/>
          <w:bCs/>
          <w:kern w:val="0"/>
        </w:rPr>
        <w:t>当日无负债结算制度是指在每个交易日结束后，由期货结算机构对期货交易保证金账户当天的盈亏状况进行结算，并根据结算结果进行资金划转。当交易发生亏损，进而导致保证金账户资金不足时，则要求必须在结算机构规定的时间内向账户中追加保证金，以做到“当日无负债”。</w:t>
      </w:r>
    </w:p>
    <w:p>
      <w:pPr>
        <w:spacing w:line="360" w:lineRule="auto"/>
        <w:ind w:firstLine="480" w:firstLineChars="200"/>
        <w:rPr>
          <w:rFonts w:ascii="仿宋" w:hAnsi="仿宋"/>
          <w:bCs/>
          <w:kern w:val="0"/>
        </w:rPr>
      </w:pPr>
      <w:r>
        <w:rPr>
          <w:rFonts w:hint="eastAsia" w:ascii="仿宋" w:hAnsi="仿宋"/>
          <w:bCs/>
          <w:kern w:val="0"/>
        </w:rPr>
        <w:t>当日无负债结算制度是通过期货交易分级结算体系实施的。由交易所（结算所）对会员进行结算，期货公司根据期货交易所（结算所）的结算结果对客户进行结算。期货交易所会员（客户）的保证金不足时，会被要求及时追加保证金或者自行平仓；否则，其合约将会被强行平仓。</w:t>
      </w:r>
    </w:p>
    <w:p>
      <w:pPr>
        <w:spacing w:line="360" w:lineRule="auto"/>
        <w:ind w:firstLine="480" w:firstLineChars="200"/>
        <w:rPr>
          <w:rFonts w:ascii="仿宋" w:hAnsi="仿宋"/>
          <w:bCs/>
          <w:kern w:val="0"/>
        </w:rPr>
      </w:pPr>
      <w:r>
        <w:rPr>
          <w:rFonts w:ascii="仿宋" w:hAnsi="仿宋"/>
          <w:bCs/>
          <w:kern w:val="0"/>
        </w:rPr>
        <w:t>3</w:t>
      </w:r>
      <w:r>
        <w:rPr>
          <w:rFonts w:hint="eastAsia" w:ascii="仿宋" w:hAnsi="仿宋"/>
          <w:bCs/>
          <w:kern w:val="0"/>
        </w:rPr>
        <w:t>、</w:t>
      </w:r>
      <w:r>
        <w:rPr>
          <w:rFonts w:ascii="仿宋" w:hAnsi="仿宋"/>
          <w:bCs/>
          <w:kern w:val="0"/>
        </w:rPr>
        <w:t>持仓限额制度的含义和特点</w:t>
      </w:r>
    </w:p>
    <w:p>
      <w:pPr>
        <w:spacing w:line="360" w:lineRule="auto"/>
        <w:ind w:firstLine="480" w:firstLineChars="200"/>
        <w:rPr>
          <w:rFonts w:ascii="仿宋" w:hAnsi="仿宋"/>
          <w:bCs/>
          <w:kern w:val="0"/>
        </w:rPr>
      </w:pPr>
      <w:r>
        <w:rPr>
          <w:rFonts w:hint="eastAsia" w:ascii="仿宋" w:hAnsi="仿宋"/>
          <w:bCs/>
          <w:kern w:val="0"/>
        </w:rPr>
        <w:t>持仓限额制度是指交易所规定会员或客户可以持有的、按单边计算的某一合约投机头寸的最大数额。</w:t>
      </w:r>
    </w:p>
    <w:p>
      <w:pPr>
        <w:spacing w:line="360" w:lineRule="auto"/>
        <w:ind w:firstLine="480" w:firstLineChars="200"/>
        <w:rPr>
          <w:rFonts w:ascii="仿宋" w:hAnsi="仿宋"/>
          <w:bCs/>
          <w:kern w:val="0"/>
        </w:rPr>
      </w:pPr>
      <w:r>
        <w:rPr>
          <w:rFonts w:hint="eastAsia" w:ascii="仿宋" w:hAnsi="仿宋"/>
          <w:bCs/>
          <w:kern w:val="0"/>
        </w:rPr>
        <w:t>特点：交易所根据不同的期货合约、不同的交易阶段制定持仓限额制度，距离交割月越近合约，会员或客户的持仓量越小；持仓限额通常只针对一般投机头寸，套期保值头寸、风险管理头寸及套利头寸可以向交易所申请豁免。</w:t>
      </w:r>
      <w:r>
        <w:rPr>
          <w:rFonts w:ascii="仿宋" w:hAnsi="仿宋"/>
          <w:bCs/>
          <w:kern w:val="0"/>
        </w:rPr>
        <w:t xml:space="preserve"> </w:t>
      </w:r>
    </w:p>
    <w:p>
      <w:pPr>
        <w:spacing w:line="360" w:lineRule="auto"/>
        <w:ind w:firstLine="480" w:firstLineChars="200"/>
        <w:rPr>
          <w:rFonts w:ascii="仿宋" w:hAnsi="仿宋"/>
          <w:bCs/>
          <w:kern w:val="0"/>
        </w:rPr>
      </w:pPr>
      <w:r>
        <w:rPr>
          <w:rFonts w:ascii="仿宋" w:hAnsi="仿宋"/>
          <w:bCs/>
          <w:kern w:val="0"/>
        </w:rPr>
        <w:t>4</w:t>
      </w:r>
      <w:r>
        <w:rPr>
          <w:rFonts w:hint="eastAsia" w:ascii="仿宋" w:hAnsi="仿宋"/>
          <w:bCs/>
          <w:kern w:val="0"/>
        </w:rPr>
        <w:t>、</w:t>
      </w:r>
      <w:r>
        <w:rPr>
          <w:rFonts w:ascii="仿宋" w:hAnsi="仿宋"/>
          <w:bCs/>
          <w:kern w:val="0"/>
        </w:rPr>
        <w:t>大户报告制度的含义和规定</w:t>
      </w:r>
    </w:p>
    <w:p>
      <w:pPr>
        <w:spacing w:line="360" w:lineRule="auto"/>
        <w:ind w:firstLine="480" w:firstLineChars="200"/>
        <w:rPr>
          <w:rFonts w:ascii="仿宋" w:hAnsi="仿宋"/>
          <w:bCs/>
          <w:kern w:val="0"/>
        </w:rPr>
      </w:pPr>
      <w:r>
        <w:rPr>
          <w:rFonts w:hint="eastAsia" w:ascii="仿宋" w:hAnsi="仿宋"/>
          <w:bCs/>
          <w:kern w:val="0"/>
        </w:rPr>
        <w:t>大户报告制度是指当会员或客户某品种持仓合约的投机头寸达到交易所对其规定的投机头寸持仓限量</w:t>
      </w:r>
      <w:r>
        <w:rPr>
          <w:rFonts w:ascii="仿宋" w:hAnsi="仿宋"/>
          <w:bCs/>
          <w:kern w:val="0"/>
        </w:rPr>
        <w:t xml:space="preserve">80%以上（含本数）时，会员或客户应向交易所报告其资金情况、头寸情况等，客户须通过经纪会员报告。 </w:t>
      </w:r>
    </w:p>
    <w:p>
      <w:pPr>
        <w:spacing w:line="360" w:lineRule="auto"/>
        <w:ind w:firstLine="480" w:firstLineChars="200"/>
        <w:rPr>
          <w:rFonts w:ascii="仿宋" w:hAnsi="仿宋"/>
          <w:bCs/>
          <w:kern w:val="0"/>
        </w:rPr>
      </w:pPr>
      <w:r>
        <w:rPr>
          <w:rFonts w:ascii="仿宋" w:hAnsi="仿宋"/>
          <w:bCs/>
          <w:kern w:val="0"/>
        </w:rPr>
        <w:t>5</w:t>
      </w:r>
      <w:r>
        <w:rPr>
          <w:rFonts w:hint="eastAsia" w:ascii="仿宋" w:hAnsi="仿宋"/>
          <w:bCs/>
          <w:kern w:val="0"/>
        </w:rPr>
        <w:t>、套期保值头寸审批制度</w:t>
      </w:r>
    </w:p>
    <w:p>
      <w:pPr>
        <w:spacing w:line="360" w:lineRule="auto"/>
        <w:ind w:firstLine="480" w:firstLineChars="200"/>
        <w:rPr>
          <w:rFonts w:ascii="仿宋" w:hAnsi="仿宋"/>
          <w:bCs/>
          <w:kern w:val="0"/>
        </w:rPr>
      </w:pPr>
      <w:r>
        <w:rPr>
          <w:rFonts w:hint="eastAsia" w:ascii="仿宋" w:hAnsi="仿宋"/>
          <w:bCs/>
          <w:kern w:val="0"/>
        </w:rPr>
        <w:t>目前我国各交易所对套期保值头寸实行审批制度。</w:t>
      </w:r>
    </w:p>
    <w:p>
      <w:pPr>
        <w:spacing w:line="360" w:lineRule="auto"/>
        <w:ind w:firstLine="480" w:firstLineChars="200"/>
        <w:rPr>
          <w:rFonts w:ascii="仿宋" w:hAnsi="仿宋"/>
          <w:bCs/>
          <w:kern w:val="0"/>
        </w:rPr>
      </w:pPr>
      <w:r>
        <w:rPr>
          <w:rFonts w:hint="eastAsia" w:ascii="仿宋" w:hAnsi="仿宋"/>
          <w:bCs/>
          <w:kern w:val="0"/>
        </w:rPr>
        <w:t>交易者根据对冲现货风险的需要，向交易所提交套期保值头寸或额度申请及相关资料，交易所对套期保值申请者的经营范围和以前年度经营业绩资料、现货购销合同等能够表明其现货经营情况的资料进行审核，或对申请者提交的近期证券市场交易情况及相关证明进行审核，确定其套期保值头寸。</w:t>
      </w:r>
    </w:p>
    <w:p>
      <w:pPr>
        <w:spacing w:line="360" w:lineRule="auto"/>
        <w:ind w:firstLine="480" w:firstLineChars="200"/>
        <w:rPr>
          <w:rFonts w:ascii="仿宋" w:hAnsi="仿宋"/>
          <w:bCs/>
          <w:kern w:val="0"/>
        </w:rPr>
      </w:pPr>
      <w:r>
        <w:rPr>
          <w:rFonts w:hint="eastAsia" w:ascii="仿宋" w:hAnsi="仿宋"/>
          <w:bCs/>
          <w:kern w:val="0"/>
        </w:rPr>
        <w:t>交易所批准的额度一般不超过会员或客户所提供的套期保值证明材料中申报的数量。</w:t>
      </w:r>
    </w:p>
    <w:p>
      <w:pPr>
        <w:spacing w:line="360" w:lineRule="auto"/>
        <w:ind w:firstLine="480" w:firstLineChars="200"/>
        <w:rPr>
          <w:rFonts w:ascii="仿宋" w:hAnsi="仿宋"/>
          <w:bCs/>
          <w:kern w:val="0"/>
        </w:rPr>
      </w:pPr>
      <w:r>
        <w:rPr>
          <w:rFonts w:hint="eastAsia" w:ascii="仿宋" w:hAnsi="仿宋"/>
          <w:bCs/>
          <w:kern w:val="0"/>
        </w:rPr>
        <w:t>套期保值的持仓量在正常情况下，不受交易所规定的持仓限量限制。</w:t>
      </w:r>
    </w:p>
    <w:p>
      <w:pPr>
        <w:pStyle w:val="4"/>
        <w:spacing w:before="0" w:after="0" w:line="360" w:lineRule="auto"/>
        <w:rPr>
          <w:rFonts w:ascii="仿宋" w:hAnsi="仿宋"/>
          <w:szCs w:val="24"/>
        </w:rPr>
      </w:pPr>
      <w:bookmarkStart w:id="31" w:name="_Toc445043862"/>
      <w:bookmarkStart w:id="32" w:name="_Toc3896680"/>
      <w:r>
        <w:rPr>
          <w:rFonts w:hint="eastAsia" w:ascii="仿宋" w:hAnsi="仿宋"/>
          <w:szCs w:val="24"/>
        </w:rPr>
        <w:t>（三）期货交易流程</w:t>
      </w:r>
      <w:bookmarkEnd w:id="31"/>
      <w:bookmarkEnd w:id="32"/>
    </w:p>
    <w:p>
      <w:pPr>
        <w:spacing w:line="360" w:lineRule="auto"/>
        <w:ind w:firstLine="480" w:firstLineChars="200"/>
        <w:rPr>
          <w:rFonts w:ascii="仿宋" w:hAnsi="仿宋"/>
          <w:bCs/>
          <w:kern w:val="0"/>
        </w:rPr>
      </w:pPr>
      <w:r>
        <w:rPr>
          <w:rFonts w:ascii="仿宋" w:hAnsi="仿宋"/>
          <w:bCs/>
          <w:kern w:val="0"/>
        </w:rPr>
        <w:t>1</w:t>
      </w:r>
      <w:r>
        <w:rPr>
          <w:rFonts w:hint="eastAsia" w:ascii="仿宋" w:hAnsi="仿宋"/>
          <w:bCs/>
          <w:kern w:val="0"/>
        </w:rPr>
        <w:t>、</w:t>
      </w:r>
      <w:r>
        <w:rPr>
          <w:rFonts w:ascii="仿宋" w:hAnsi="仿宋"/>
          <w:bCs/>
          <w:kern w:val="0"/>
        </w:rPr>
        <w:t>开户</w:t>
      </w:r>
    </w:p>
    <w:p>
      <w:pPr>
        <w:spacing w:line="360" w:lineRule="auto"/>
        <w:ind w:firstLine="480" w:firstLineChars="200"/>
        <w:rPr>
          <w:rFonts w:ascii="仿宋" w:hAnsi="仿宋"/>
          <w:bCs/>
          <w:kern w:val="0"/>
        </w:rPr>
      </w:pPr>
      <w:r>
        <w:rPr>
          <w:rFonts w:hint="eastAsia" w:ascii="仿宋" w:hAnsi="仿宋"/>
          <w:bCs/>
          <w:kern w:val="0"/>
        </w:rPr>
        <w:t>期货公司客户分为个人客户和单位客户</w:t>
      </w:r>
      <w:r>
        <w:rPr>
          <w:rFonts w:ascii="仿宋" w:hAnsi="仿宋"/>
          <w:bCs/>
          <w:kern w:val="0"/>
        </w:rPr>
        <w:t xml:space="preserve"> </w:t>
      </w:r>
      <w:r>
        <w:rPr>
          <w:rFonts w:hint="eastAsia" w:ascii="仿宋" w:hAnsi="仿宋"/>
          <w:bCs/>
          <w:kern w:val="0"/>
        </w:rPr>
        <w:t>。</w:t>
      </w:r>
    </w:p>
    <w:p>
      <w:pPr>
        <w:spacing w:line="360" w:lineRule="auto"/>
        <w:ind w:firstLine="480" w:firstLineChars="200"/>
        <w:rPr>
          <w:rFonts w:ascii="仿宋" w:hAnsi="仿宋"/>
          <w:bCs/>
          <w:kern w:val="0"/>
        </w:rPr>
      </w:pPr>
      <w:r>
        <w:rPr>
          <w:rFonts w:hint="eastAsia" w:ascii="仿宋" w:hAnsi="仿宋"/>
          <w:bCs/>
          <w:kern w:val="0"/>
        </w:rPr>
        <w:t>在我国，由中国期货保证金监控中心负责客户开户管理的具体实施工作。期货公司为客户申请、注销各期货交易所交易编码，以及修改与交易编码相关的客户资料，应当统一通过保证金监控中心办理。</w:t>
      </w:r>
    </w:p>
    <w:p>
      <w:pPr>
        <w:spacing w:line="360" w:lineRule="auto"/>
        <w:ind w:firstLine="480" w:firstLineChars="200"/>
        <w:rPr>
          <w:rFonts w:ascii="仿宋" w:hAnsi="仿宋"/>
          <w:bCs/>
          <w:kern w:val="0"/>
        </w:rPr>
      </w:pPr>
      <w:r>
        <w:rPr>
          <w:rFonts w:hint="eastAsia" w:ascii="仿宋" w:hAnsi="仿宋"/>
          <w:bCs/>
          <w:kern w:val="0"/>
        </w:rPr>
        <w:t>个人客户应当本人亲自办理开户手续，签署开户资料，不得委托代理人代为办理开户手续。除中国证监会另有规定外，个人客户的有效身份证明文件为中华人民共和国居民身份证；单位客户应当出具单位的授权委托书、代理人的身份证和其他开户证件。除中国证监会另有规定外，一般单位客户的有效身份证明文件为组织机构代码证和营业执照；证券公司、基金管理公司、信托公司和其他金融机构，以及社会保障类公司、合格境外机构投资者等法律、行政法规和规章规定的需要资产分户管理的特殊单位客户，其有效身份证明文件由监控中心另行规定。期货公司应当对客户开户资料进行审核，确保开户资料的合规、真实、准确和完整。</w:t>
      </w:r>
    </w:p>
    <w:p>
      <w:pPr>
        <w:spacing w:line="360" w:lineRule="auto"/>
        <w:ind w:firstLine="480" w:firstLineChars="200"/>
        <w:rPr>
          <w:rFonts w:ascii="仿宋" w:hAnsi="仿宋"/>
          <w:bCs/>
          <w:kern w:val="0"/>
        </w:rPr>
      </w:pPr>
      <w:r>
        <w:rPr>
          <w:rFonts w:hint="eastAsia" w:ascii="仿宋" w:hAnsi="仿宋"/>
          <w:bCs/>
          <w:kern w:val="0"/>
        </w:rPr>
        <w:t>开户流程包括：客户提交开户申请、阅读“期货交易风险说明书”并签字确认、双方签署“期货经纪合同书”、期货公司为客户申请各期货交易所交易编码。</w:t>
      </w:r>
    </w:p>
    <w:p>
      <w:pPr>
        <w:spacing w:line="360" w:lineRule="auto"/>
        <w:ind w:firstLine="480" w:firstLineChars="200"/>
        <w:rPr>
          <w:rFonts w:ascii="仿宋" w:hAnsi="仿宋"/>
          <w:bCs/>
          <w:kern w:val="0"/>
        </w:rPr>
      </w:pPr>
      <w:r>
        <w:rPr>
          <w:rFonts w:hint="eastAsia" w:ascii="仿宋" w:hAnsi="仿宋"/>
          <w:bCs/>
          <w:kern w:val="0"/>
        </w:rPr>
        <w:t>一个客户可以在多个期货公司处开户，在不同期货公司开户所取得的交易编码前四位数不同。</w:t>
      </w:r>
    </w:p>
    <w:p>
      <w:pPr>
        <w:spacing w:line="360" w:lineRule="auto"/>
        <w:ind w:firstLine="480" w:firstLineChars="200"/>
        <w:rPr>
          <w:rFonts w:ascii="仿宋" w:hAnsi="仿宋"/>
          <w:bCs/>
          <w:kern w:val="0"/>
        </w:rPr>
      </w:pPr>
      <w:r>
        <w:rPr>
          <w:rFonts w:hint="eastAsia" w:ascii="仿宋" w:hAnsi="仿宋"/>
          <w:bCs/>
          <w:kern w:val="0"/>
        </w:rPr>
        <w:t>互联网开户</w:t>
      </w:r>
    </w:p>
    <w:p>
      <w:pPr>
        <w:spacing w:line="360" w:lineRule="auto"/>
        <w:ind w:firstLine="480" w:firstLineChars="200"/>
        <w:rPr>
          <w:rFonts w:ascii="仿宋" w:hAnsi="仿宋"/>
          <w:bCs/>
          <w:kern w:val="0"/>
        </w:rPr>
      </w:pPr>
      <w:r>
        <w:rPr>
          <w:rFonts w:hint="eastAsia" w:ascii="仿宋" w:hAnsi="仿宋"/>
          <w:bCs/>
          <w:kern w:val="0"/>
        </w:rPr>
        <w:t>互联网开户对象仅限于自然人。</w:t>
      </w:r>
    </w:p>
    <w:p>
      <w:pPr>
        <w:spacing w:line="360" w:lineRule="auto"/>
        <w:ind w:firstLine="480" w:firstLineChars="200"/>
        <w:rPr>
          <w:rFonts w:ascii="仿宋" w:hAnsi="仿宋"/>
          <w:bCs/>
          <w:kern w:val="0"/>
        </w:rPr>
      </w:pPr>
      <w:r>
        <w:rPr>
          <w:rFonts w:hint="eastAsia" w:ascii="仿宋" w:hAnsi="仿宋"/>
          <w:bCs/>
          <w:kern w:val="0"/>
        </w:rPr>
        <w:t>期货公司应健全互联网开户管理制度、技术方案、操作风险和风险识别、评估与控制体系，确保符合期货市场开户管理、投资者适当性管理等有关规定。并通过中国期货保证金监控中心有限责任公司提供的期货互联网开户云平台为客户办理互联网开户。</w:t>
      </w:r>
    </w:p>
    <w:p>
      <w:pPr>
        <w:spacing w:line="360" w:lineRule="auto"/>
        <w:ind w:firstLine="480" w:firstLineChars="200"/>
        <w:rPr>
          <w:rFonts w:ascii="仿宋" w:hAnsi="仿宋"/>
          <w:bCs/>
          <w:kern w:val="0"/>
        </w:rPr>
      </w:pPr>
      <w:r>
        <w:rPr>
          <w:rFonts w:hint="eastAsia" w:ascii="仿宋" w:hAnsi="仿宋"/>
          <w:bCs/>
          <w:kern w:val="0"/>
        </w:rPr>
        <w:t>期货公司采用数字证书认证方式为客户办理互联网开户，签发的数字证书应当使用经国务院信息产业主管部门批准设立的电子认证服务机构提供的数字证书，并确保数字证书记载的个人信息与账户有关个人信息保持一致。</w:t>
      </w:r>
    </w:p>
    <w:p>
      <w:pPr>
        <w:spacing w:line="360" w:lineRule="auto"/>
        <w:ind w:firstLine="480" w:firstLineChars="200"/>
        <w:rPr>
          <w:rFonts w:ascii="仿宋" w:hAnsi="仿宋"/>
          <w:bCs/>
          <w:kern w:val="0"/>
        </w:rPr>
      </w:pPr>
      <w:r>
        <w:rPr>
          <w:rFonts w:hint="eastAsia" w:ascii="仿宋" w:hAnsi="仿宋"/>
          <w:bCs/>
          <w:kern w:val="0"/>
        </w:rPr>
        <w:t>期货公司应当对互联网开户制度中规范互联网开户相关人员的岗位职责、执业行为及防范利益冲突等事项。制定统一的开户流程和服务标准，并建立相应的复核机制。</w:t>
      </w:r>
    </w:p>
    <w:p>
      <w:pPr>
        <w:spacing w:line="360" w:lineRule="auto"/>
        <w:ind w:firstLine="480" w:firstLineChars="200"/>
        <w:rPr>
          <w:rFonts w:ascii="仿宋" w:hAnsi="仿宋"/>
          <w:bCs/>
          <w:kern w:val="0"/>
        </w:rPr>
      </w:pPr>
      <w:r>
        <w:rPr>
          <w:rFonts w:hint="eastAsia" w:ascii="仿宋" w:hAnsi="仿宋"/>
          <w:bCs/>
          <w:kern w:val="0"/>
        </w:rPr>
        <w:t>期货公司应当与使用互联网开户的客户进行实时视频通话并保存同步记录，并及时将开户结果反馈给客户。</w:t>
      </w:r>
    </w:p>
    <w:p>
      <w:pPr>
        <w:spacing w:line="360" w:lineRule="auto"/>
        <w:ind w:firstLine="480" w:firstLineChars="200"/>
        <w:rPr>
          <w:rFonts w:ascii="仿宋" w:hAnsi="仿宋"/>
          <w:bCs/>
          <w:kern w:val="0"/>
        </w:rPr>
      </w:pPr>
      <w:r>
        <w:rPr>
          <w:rFonts w:hint="eastAsia" w:ascii="仿宋" w:hAnsi="仿宋"/>
          <w:bCs/>
          <w:kern w:val="0"/>
        </w:rPr>
        <w:t>互联网开户包括身份识别、申请数字证书、揭示风险、适当性调查及管理及合同签署几个步骤。</w:t>
      </w:r>
    </w:p>
    <w:p>
      <w:pPr>
        <w:spacing w:line="360" w:lineRule="auto"/>
        <w:ind w:firstLine="480" w:firstLineChars="200"/>
        <w:rPr>
          <w:rFonts w:ascii="仿宋" w:hAnsi="仿宋"/>
          <w:bCs/>
          <w:kern w:val="0"/>
        </w:rPr>
      </w:pPr>
    </w:p>
    <w:p>
      <w:pPr>
        <w:spacing w:line="360" w:lineRule="auto"/>
        <w:ind w:firstLine="480" w:firstLineChars="200"/>
        <w:rPr>
          <w:rFonts w:ascii="仿宋" w:hAnsi="仿宋"/>
          <w:bCs/>
          <w:kern w:val="0"/>
        </w:rPr>
      </w:pPr>
      <w:r>
        <w:rPr>
          <w:rFonts w:ascii="仿宋" w:hAnsi="仿宋"/>
          <w:bCs/>
          <w:kern w:val="0"/>
        </w:rPr>
        <w:t>2</w:t>
      </w:r>
      <w:r>
        <w:rPr>
          <w:rFonts w:hint="eastAsia" w:ascii="仿宋" w:hAnsi="仿宋"/>
          <w:bCs/>
          <w:kern w:val="0"/>
        </w:rPr>
        <w:t>、</w:t>
      </w:r>
      <w:r>
        <w:rPr>
          <w:rFonts w:ascii="仿宋" w:hAnsi="仿宋"/>
          <w:bCs/>
          <w:kern w:val="0"/>
        </w:rPr>
        <w:t>下单</w:t>
      </w:r>
    </w:p>
    <w:p>
      <w:pPr>
        <w:spacing w:line="360" w:lineRule="auto"/>
        <w:ind w:firstLine="480" w:firstLineChars="200"/>
        <w:rPr>
          <w:rFonts w:ascii="仿宋" w:hAnsi="仿宋"/>
          <w:bCs/>
          <w:kern w:val="0"/>
        </w:rPr>
      </w:pPr>
      <w:r>
        <w:rPr>
          <w:rFonts w:hint="eastAsia" w:ascii="仿宋" w:hAnsi="仿宋"/>
          <w:bCs/>
          <w:kern w:val="0"/>
        </w:rPr>
        <w:t>国际上常用的交易指令：</w:t>
      </w:r>
    </w:p>
    <w:p>
      <w:pPr>
        <w:spacing w:line="360" w:lineRule="auto"/>
        <w:ind w:firstLine="480" w:firstLineChars="200"/>
        <w:rPr>
          <w:rFonts w:ascii="仿宋" w:hAnsi="仿宋"/>
          <w:bCs/>
          <w:kern w:val="0"/>
        </w:rPr>
      </w:pPr>
      <w:r>
        <w:rPr>
          <w:rFonts w:hint="eastAsia" w:ascii="仿宋" w:hAnsi="仿宋"/>
          <w:bCs/>
          <w:kern w:val="0"/>
        </w:rPr>
        <w:t>市价指令、限价指令、止损指令、停止限价指令、套利指令、取消指令等。</w:t>
      </w:r>
    </w:p>
    <w:p>
      <w:pPr>
        <w:spacing w:line="360" w:lineRule="auto"/>
        <w:ind w:firstLine="480" w:firstLineChars="200"/>
        <w:rPr>
          <w:rFonts w:ascii="仿宋" w:hAnsi="仿宋"/>
          <w:bCs/>
          <w:kern w:val="0"/>
        </w:rPr>
      </w:pPr>
      <w:r>
        <w:rPr>
          <w:rFonts w:hint="eastAsia" w:ascii="仿宋" w:hAnsi="仿宋"/>
          <w:bCs/>
          <w:kern w:val="0"/>
        </w:rPr>
        <w:t>市价指令是期货交易中常用的指令之一。它是指按当时市场价格即刻成交的指令。客户在下达这种指令时不须指明具体的价位，而是要求期货公司出市代表以当时市场上可执行的最好价格达成交易。这种指令的特点是成交速度快，一旦指令下达后不可更改或撤销。</w:t>
      </w:r>
    </w:p>
    <w:p>
      <w:pPr>
        <w:spacing w:line="360" w:lineRule="auto"/>
        <w:ind w:firstLine="480" w:firstLineChars="200"/>
        <w:rPr>
          <w:rFonts w:ascii="仿宋" w:hAnsi="仿宋"/>
          <w:bCs/>
          <w:kern w:val="0"/>
        </w:rPr>
      </w:pPr>
      <w:r>
        <w:rPr>
          <w:rFonts w:hint="eastAsia" w:ascii="仿宋" w:hAnsi="仿宋"/>
          <w:bCs/>
          <w:kern w:val="0"/>
        </w:rPr>
        <w:t>限价指令是指执行时必须按限定价格或更好的价格成交的指令。下达限价指令时，客户必须指明具体的价位。它的特点是可以按客户的预期价格成交，但成交速度相对较慢，有时甚至无法成交。</w:t>
      </w:r>
    </w:p>
    <w:p>
      <w:pPr>
        <w:spacing w:line="360" w:lineRule="auto"/>
        <w:ind w:firstLine="480" w:firstLineChars="200"/>
        <w:rPr>
          <w:rFonts w:ascii="仿宋" w:hAnsi="仿宋"/>
          <w:bCs/>
          <w:kern w:val="0"/>
        </w:rPr>
      </w:pPr>
      <w:r>
        <w:rPr>
          <w:rFonts w:hint="eastAsia" w:ascii="仿宋" w:hAnsi="仿宋"/>
          <w:bCs/>
          <w:kern w:val="0"/>
        </w:rPr>
        <w:t>止损指令是指当市场价格达到客户预先设定的触发价格时，即变为市价指令予以执行的一种指令。客户利用止损指令，既可以有效地锁定利润，也可以实现滚动利润的目的，又可以将可能的损失降至最低限度，还可以相对较小的风险建立新的头寸。</w:t>
      </w:r>
    </w:p>
    <w:p>
      <w:pPr>
        <w:spacing w:line="360" w:lineRule="auto"/>
        <w:ind w:firstLine="480" w:firstLineChars="200"/>
        <w:rPr>
          <w:rFonts w:ascii="仿宋" w:hAnsi="仿宋"/>
          <w:bCs/>
          <w:kern w:val="0"/>
        </w:rPr>
      </w:pPr>
      <w:r>
        <w:rPr>
          <w:rFonts w:hint="eastAsia" w:ascii="仿宋" w:hAnsi="仿宋"/>
          <w:bCs/>
          <w:kern w:val="0"/>
        </w:rPr>
        <w:t>通常情况下，卖出止损指令应低于当前的市场价格；买入止损指令应高于当前的市场价格。</w:t>
      </w:r>
    </w:p>
    <w:p>
      <w:pPr>
        <w:spacing w:line="360" w:lineRule="auto"/>
        <w:ind w:firstLine="480" w:firstLineChars="200"/>
        <w:rPr>
          <w:rFonts w:ascii="仿宋" w:hAnsi="仿宋"/>
          <w:bCs/>
          <w:kern w:val="0"/>
        </w:rPr>
      </w:pPr>
      <w:r>
        <w:rPr>
          <w:rFonts w:hint="eastAsia" w:ascii="仿宋" w:hAnsi="仿宋"/>
          <w:bCs/>
          <w:kern w:val="0"/>
        </w:rPr>
        <w:t>停止限价指令是指当市场价格达到客户预先设定的触发价格时，即变为限价指令予以执行的一种指令。它的特点是可以将损失或利润锁定在预期的范围，但成交速度较止损指令慢，有时甚至无法成交。</w:t>
      </w:r>
    </w:p>
    <w:p>
      <w:pPr>
        <w:spacing w:line="360" w:lineRule="auto"/>
        <w:ind w:firstLine="480" w:firstLineChars="200"/>
        <w:rPr>
          <w:rFonts w:ascii="仿宋" w:hAnsi="仿宋"/>
          <w:bCs/>
          <w:kern w:val="0"/>
        </w:rPr>
      </w:pPr>
      <w:r>
        <w:rPr>
          <w:rFonts w:hint="eastAsia" w:ascii="仿宋" w:hAnsi="仿宋"/>
          <w:bCs/>
          <w:kern w:val="0"/>
        </w:rPr>
        <w:t>套利指令是指同时买入和卖出两种或两种以上期货合约的指令。</w:t>
      </w:r>
    </w:p>
    <w:p>
      <w:pPr>
        <w:spacing w:line="360" w:lineRule="auto"/>
        <w:ind w:firstLine="480" w:firstLineChars="200"/>
        <w:rPr>
          <w:rFonts w:ascii="仿宋" w:hAnsi="仿宋"/>
          <w:bCs/>
          <w:kern w:val="0"/>
        </w:rPr>
      </w:pPr>
    </w:p>
    <w:p>
      <w:pPr>
        <w:spacing w:line="360" w:lineRule="auto"/>
        <w:ind w:firstLine="480" w:firstLineChars="200"/>
        <w:rPr>
          <w:rFonts w:ascii="仿宋" w:hAnsi="仿宋"/>
          <w:bCs/>
          <w:kern w:val="0"/>
        </w:rPr>
      </w:pPr>
      <w:r>
        <w:rPr>
          <w:rFonts w:ascii="仿宋" w:hAnsi="仿宋"/>
          <w:bCs/>
          <w:kern w:val="0"/>
        </w:rPr>
        <w:t>3</w:t>
      </w:r>
      <w:r>
        <w:rPr>
          <w:rFonts w:hint="eastAsia" w:ascii="仿宋" w:hAnsi="仿宋"/>
          <w:bCs/>
          <w:kern w:val="0"/>
        </w:rPr>
        <w:t>、</w:t>
      </w:r>
      <w:r>
        <w:rPr>
          <w:rFonts w:ascii="仿宋" w:hAnsi="仿宋"/>
          <w:bCs/>
          <w:kern w:val="0"/>
        </w:rPr>
        <w:t>结算</w:t>
      </w:r>
    </w:p>
    <w:p>
      <w:pPr>
        <w:spacing w:line="360" w:lineRule="auto"/>
        <w:ind w:firstLine="480" w:firstLineChars="200"/>
        <w:rPr>
          <w:rFonts w:ascii="仿宋" w:hAnsi="仿宋"/>
          <w:bCs/>
          <w:kern w:val="0"/>
        </w:rPr>
      </w:pPr>
      <w:r>
        <w:rPr>
          <w:rFonts w:hint="eastAsia" w:ascii="仿宋" w:hAnsi="仿宋"/>
          <w:bCs/>
          <w:kern w:val="0"/>
        </w:rPr>
        <w:t>结算是指交易所根据公布的结算价格和交易所有关规定对交易双方的交易结果进行资金清算和划转的业务活动。</w:t>
      </w:r>
      <w:r>
        <w:rPr>
          <w:rFonts w:ascii="仿宋" w:hAnsi="仿宋"/>
          <w:bCs/>
          <w:kern w:val="0"/>
        </w:rPr>
        <w:t xml:space="preserve"> </w:t>
      </w:r>
    </w:p>
    <w:p>
      <w:pPr>
        <w:spacing w:line="360" w:lineRule="auto"/>
        <w:ind w:firstLine="480" w:firstLineChars="200"/>
        <w:rPr>
          <w:rFonts w:ascii="仿宋" w:hAnsi="仿宋"/>
          <w:bCs/>
          <w:kern w:val="0"/>
        </w:rPr>
      </w:pPr>
      <w:r>
        <w:rPr>
          <w:rFonts w:hint="eastAsia" w:ascii="仿宋" w:hAnsi="仿宋"/>
          <w:bCs/>
          <w:kern w:val="0"/>
        </w:rPr>
        <w:t>期货交易实行当日无负债结算制度，每个交易日结束后，由期货结算机构对期货交易保证金账户当天的盈亏状况进行结算，并根据结算结果进行资金划转。</w:t>
      </w:r>
    </w:p>
    <w:p>
      <w:pPr>
        <w:spacing w:line="360" w:lineRule="auto"/>
        <w:ind w:firstLine="480" w:firstLineChars="200"/>
        <w:rPr>
          <w:rFonts w:ascii="仿宋" w:hAnsi="仿宋"/>
          <w:bCs/>
          <w:kern w:val="0"/>
        </w:rPr>
      </w:pPr>
      <w:r>
        <w:rPr>
          <w:rFonts w:hint="eastAsia" w:ascii="仿宋" w:hAnsi="仿宋"/>
          <w:bCs/>
          <w:kern w:val="0"/>
        </w:rPr>
        <w:t>如果会员结算准备金余额大于零而低于结算准备金最低余额，交易所会发出《追加保证金通知书》的通知，在保证金补足之前，禁止会员开新仓；若结算准备金余额小于零，交易所会发出《追加保证金通知书》和《强行平仓通知书》，如果下一交易日开市前未补足，交易所将按有关规定对该会员强行平仓；</w:t>
      </w:r>
    </w:p>
    <w:p>
      <w:pPr>
        <w:spacing w:line="360" w:lineRule="auto"/>
        <w:ind w:firstLine="480" w:firstLineChars="200"/>
        <w:rPr>
          <w:rFonts w:ascii="仿宋" w:hAnsi="仿宋"/>
          <w:bCs/>
          <w:kern w:val="0"/>
        </w:rPr>
      </w:pPr>
      <w:r>
        <w:rPr>
          <w:rFonts w:hint="eastAsia" w:ascii="仿宋" w:hAnsi="仿宋"/>
          <w:bCs/>
          <w:kern w:val="0"/>
        </w:rPr>
        <w:t>如果客户的可用资金为负，或风险度大于</w:t>
      </w:r>
      <w:r>
        <w:rPr>
          <w:rFonts w:ascii="仿宋" w:hAnsi="仿宋"/>
          <w:bCs/>
          <w:kern w:val="0"/>
        </w:rPr>
        <w:t>100%时则会收到《追加保证金通知书》。</w:t>
      </w:r>
    </w:p>
    <w:p>
      <w:pPr>
        <w:spacing w:line="360" w:lineRule="auto"/>
        <w:ind w:firstLine="480" w:firstLineChars="200"/>
        <w:rPr>
          <w:rFonts w:ascii="仿宋" w:hAnsi="仿宋"/>
          <w:bCs/>
          <w:kern w:val="0"/>
        </w:rPr>
      </w:pPr>
      <w:r>
        <w:rPr>
          <w:rFonts w:hint="eastAsia" w:ascii="仿宋" w:hAnsi="仿宋"/>
          <w:bCs/>
          <w:kern w:val="0"/>
        </w:rPr>
        <w:t>会员结算准备金余额的计算：</w:t>
      </w:r>
    </w:p>
    <w:p>
      <w:pPr>
        <w:spacing w:line="360" w:lineRule="auto"/>
        <w:ind w:firstLine="480" w:firstLineChars="200"/>
        <w:rPr>
          <w:rFonts w:ascii="仿宋" w:hAnsi="仿宋"/>
          <w:bCs/>
          <w:kern w:val="0"/>
        </w:rPr>
      </w:pPr>
      <w:r>
        <w:rPr>
          <w:rFonts w:hint="eastAsia" w:ascii="仿宋" w:hAnsi="仿宋"/>
          <w:bCs/>
          <w:kern w:val="0"/>
        </w:rPr>
        <w:t>当日结算准备金余额</w:t>
      </w:r>
      <w:r>
        <w:rPr>
          <w:rFonts w:ascii="仿宋" w:hAnsi="仿宋"/>
          <w:bCs/>
          <w:kern w:val="0"/>
        </w:rPr>
        <w:t>=上一交易日结算准备金余额-(当日交易保证金-上一交易日交易保证金)+当日盈亏+入金-出金</w:t>
      </w:r>
    </w:p>
    <w:p>
      <w:pPr>
        <w:spacing w:line="360" w:lineRule="auto"/>
        <w:ind w:firstLine="480" w:firstLineChars="200"/>
        <w:rPr>
          <w:rFonts w:ascii="仿宋" w:hAnsi="仿宋"/>
          <w:bCs/>
          <w:kern w:val="0"/>
        </w:rPr>
      </w:pPr>
      <w:r>
        <w:rPr>
          <w:rFonts w:hint="eastAsia" w:ascii="仿宋" w:hAnsi="仿宋"/>
          <w:bCs/>
          <w:kern w:val="0"/>
        </w:rPr>
        <w:t>当日盈亏</w:t>
      </w:r>
      <w:r>
        <w:rPr>
          <w:rFonts w:ascii="仿宋" w:hAnsi="仿宋"/>
          <w:bCs/>
          <w:kern w:val="0"/>
        </w:rPr>
        <w:t>=平仓盈亏+持仓</w:t>
      </w:r>
      <w:r>
        <w:rPr>
          <w:rFonts w:hint="eastAsia" w:ascii="仿宋" w:hAnsi="仿宋"/>
          <w:bCs/>
          <w:kern w:val="0"/>
        </w:rPr>
        <w:t>盈亏</w:t>
      </w:r>
    </w:p>
    <w:p>
      <w:pPr>
        <w:spacing w:line="360" w:lineRule="auto"/>
        <w:ind w:firstLine="480" w:firstLineChars="200"/>
        <w:rPr>
          <w:rFonts w:ascii="仿宋" w:hAnsi="仿宋"/>
          <w:bCs/>
          <w:kern w:val="0"/>
        </w:rPr>
      </w:pPr>
      <w:r>
        <w:rPr>
          <w:rFonts w:hint="eastAsia" w:ascii="仿宋" w:hAnsi="仿宋"/>
          <w:bCs/>
          <w:kern w:val="0"/>
        </w:rPr>
        <w:t>当日交易保证金</w:t>
      </w:r>
      <w:r>
        <w:rPr>
          <w:rFonts w:ascii="仿宋" w:hAnsi="仿宋"/>
          <w:bCs/>
          <w:kern w:val="0"/>
        </w:rPr>
        <w:t>=当日结算价*当日交易结算后的持仓总量</w:t>
      </w:r>
      <w:r>
        <w:rPr>
          <w:rFonts w:hint="eastAsia" w:ascii="仿宋" w:hAnsi="仿宋"/>
          <w:bCs/>
          <w:kern w:val="0"/>
        </w:rPr>
        <w:t>*</w:t>
      </w:r>
      <w:r>
        <w:rPr>
          <w:rFonts w:ascii="仿宋" w:hAnsi="仿宋"/>
          <w:bCs/>
          <w:kern w:val="0"/>
        </w:rPr>
        <w:t>交易保证金比例</w:t>
      </w:r>
    </w:p>
    <w:p>
      <w:pPr>
        <w:spacing w:line="360" w:lineRule="auto"/>
        <w:ind w:firstLine="480" w:firstLineChars="200"/>
        <w:rPr>
          <w:rFonts w:ascii="仿宋" w:hAnsi="仿宋"/>
          <w:bCs/>
          <w:kern w:val="0"/>
        </w:rPr>
      </w:pPr>
      <w:r>
        <w:rPr>
          <w:rFonts w:hint="eastAsia" w:ascii="仿宋" w:hAnsi="仿宋"/>
          <w:bCs/>
          <w:kern w:val="0"/>
        </w:rPr>
        <w:t>客户可用资金的计算：</w:t>
      </w:r>
    </w:p>
    <w:p>
      <w:pPr>
        <w:spacing w:line="360" w:lineRule="auto"/>
        <w:ind w:firstLine="480" w:firstLineChars="200"/>
        <w:rPr>
          <w:rFonts w:ascii="仿宋" w:hAnsi="仿宋"/>
          <w:bCs/>
          <w:kern w:val="0"/>
        </w:rPr>
      </w:pPr>
      <w:r>
        <w:rPr>
          <w:rFonts w:hint="eastAsia" w:ascii="仿宋" w:hAnsi="仿宋"/>
          <w:bCs/>
          <w:kern w:val="0"/>
        </w:rPr>
        <w:t>逐日盯市结算方式：</w:t>
      </w:r>
    </w:p>
    <w:p>
      <w:pPr>
        <w:spacing w:line="360" w:lineRule="auto"/>
        <w:ind w:firstLine="480" w:firstLineChars="200"/>
        <w:rPr>
          <w:rFonts w:ascii="仿宋" w:hAnsi="仿宋"/>
          <w:bCs/>
          <w:kern w:val="0"/>
        </w:rPr>
      </w:pPr>
      <w:r>
        <w:rPr>
          <w:rFonts w:hint="eastAsia" w:ascii="仿宋" w:hAnsi="仿宋"/>
          <w:bCs/>
          <w:kern w:val="0"/>
        </w:rPr>
        <w:t>依据当日无负债结算制度，每日计算当日盈亏。即结算每日盈亏，每个交易日的盈亏结果由平仓价或当日结算价与上一交易日结算价比较得出（如果是当日开仓，则与开仓价比较）。</w:t>
      </w:r>
    </w:p>
    <w:p>
      <w:pPr>
        <w:spacing w:line="360" w:lineRule="auto"/>
        <w:ind w:firstLine="480" w:firstLineChars="200"/>
        <w:rPr>
          <w:rFonts w:ascii="仿宋" w:hAnsi="仿宋"/>
          <w:bCs/>
          <w:kern w:val="0"/>
        </w:rPr>
      </w:pPr>
      <w:r>
        <w:rPr>
          <w:rFonts w:hint="eastAsia" w:ascii="仿宋" w:hAnsi="仿宋"/>
          <w:bCs/>
          <w:kern w:val="0"/>
        </w:rPr>
        <w:t>当日结存</w:t>
      </w:r>
      <w:r>
        <w:rPr>
          <w:rFonts w:ascii="仿宋" w:hAnsi="仿宋"/>
          <w:bCs/>
          <w:kern w:val="0"/>
        </w:rPr>
        <w:t>=上日结存+当日盈亏+入金-出金-手续费（等）</w:t>
      </w:r>
    </w:p>
    <w:p>
      <w:pPr>
        <w:spacing w:line="360" w:lineRule="auto"/>
        <w:ind w:firstLine="480" w:firstLineChars="200"/>
        <w:rPr>
          <w:rFonts w:ascii="仿宋" w:hAnsi="仿宋"/>
          <w:bCs/>
          <w:kern w:val="0"/>
        </w:rPr>
      </w:pPr>
      <w:r>
        <w:rPr>
          <w:rFonts w:hint="eastAsia" w:ascii="仿宋" w:hAnsi="仿宋"/>
          <w:bCs/>
          <w:kern w:val="0"/>
        </w:rPr>
        <w:t>当日盈亏</w:t>
      </w:r>
      <w:r>
        <w:rPr>
          <w:rFonts w:ascii="仿宋" w:hAnsi="仿宋"/>
          <w:bCs/>
          <w:kern w:val="0"/>
        </w:rPr>
        <w:t>=平仓盈亏+持仓盯市盈亏</w:t>
      </w:r>
    </w:p>
    <w:p>
      <w:pPr>
        <w:spacing w:line="360" w:lineRule="auto"/>
        <w:ind w:firstLine="480" w:firstLineChars="200"/>
        <w:rPr>
          <w:rFonts w:ascii="仿宋" w:hAnsi="仿宋"/>
          <w:bCs/>
          <w:kern w:val="0"/>
        </w:rPr>
      </w:pPr>
      <w:r>
        <w:rPr>
          <w:rFonts w:hint="eastAsia" w:ascii="仿宋" w:hAnsi="仿宋"/>
          <w:bCs/>
          <w:kern w:val="0"/>
        </w:rPr>
        <w:t>客户权益＝当日结存</w:t>
      </w:r>
      <w:r>
        <w:rPr>
          <w:rFonts w:ascii="仿宋" w:hAnsi="仿宋"/>
          <w:bCs/>
          <w:kern w:val="0"/>
        </w:rPr>
        <w:t xml:space="preserve"> </w:t>
      </w:r>
    </w:p>
    <w:p>
      <w:pPr>
        <w:spacing w:line="360" w:lineRule="auto"/>
        <w:ind w:firstLine="480" w:firstLineChars="200"/>
        <w:rPr>
          <w:rFonts w:ascii="仿宋" w:hAnsi="仿宋"/>
          <w:bCs/>
          <w:kern w:val="0"/>
        </w:rPr>
      </w:pPr>
      <w:r>
        <w:rPr>
          <w:rFonts w:hint="eastAsia" w:ascii="仿宋" w:hAnsi="仿宋"/>
          <w:bCs/>
          <w:kern w:val="0"/>
        </w:rPr>
        <w:t>可用资金</w:t>
      </w:r>
      <w:r>
        <w:rPr>
          <w:rFonts w:ascii="仿宋" w:hAnsi="仿宋"/>
          <w:bCs/>
          <w:kern w:val="0"/>
        </w:rPr>
        <w:t>=客户权益-保证金占用</w:t>
      </w:r>
    </w:p>
    <w:p>
      <w:pPr>
        <w:spacing w:line="360" w:lineRule="auto"/>
        <w:ind w:firstLine="480" w:firstLineChars="200"/>
        <w:rPr>
          <w:rFonts w:ascii="仿宋" w:hAnsi="仿宋"/>
          <w:bCs/>
          <w:kern w:val="0"/>
        </w:rPr>
      </w:pPr>
      <w:r>
        <w:rPr>
          <w:rFonts w:hint="eastAsia" w:ascii="仿宋" w:hAnsi="仿宋"/>
          <w:bCs/>
          <w:kern w:val="0"/>
        </w:rPr>
        <w:t>逐笔对冲结算方式：</w:t>
      </w:r>
    </w:p>
    <w:p>
      <w:pPr>
        <w:spacing w:line="360" w:lineRule="auto"/>
        <w:ind w:firstLine="480" w:firstLineChars="200"/>
        <w:rPr>
          <w:rFonts w:ascii="仿宋" w:hAnsi="仿宋"/>
          <w:bCs/>
          <w:kern w:val="0"/>
        </w:rPr>
      </w:pPr>
      <w:r>
        <w:rPr>
          <w:rFonts w:hint="eastAsia" w:ascii="仿宋" w:hAnsi="仿宋"/>
          <w:bCs/>
          <w:kern w:val="0"/>
        </w:rPr>
        <w:t>每日计算自开仓之日起至当日的累计盈亏，得出的结果是最终盈亏。即考虑每一笔交易结果，而不是每日的盈亏状况。每个交易日的盈亏结果是由平仓价或当日结算价与开仓价比较得出的。</w:t>
      </w:r>
    </w:p>
    <w:p>
      <w:pPr>
        <w:spacing w:line="360" w:lineRule="auto"/>
        <w:ind w:firstLine="480" w:firstLineChars="200"/>
        <w:rPr>
          <w:rFonts w:ascii="仿宋" w:hAnsi="仿宋"/>
          <w:bCs/>
          <w:kern w:val="0"/>
        </w:rPr>
      </w:pPr>
      <w:r>
        <w:rPr>
          <w:rFonts w:hint="eastAsia" w:ascii="仿宋" w:hAnsi="仿宋"/>
          <w:bCs/>
          <w:kern w:val="0"/>
        </w:rPr>
        <w:t>当日结存＝上日结存</w:t>
      </w:r>
      <w:r>
        <w:rPr>
          <w:rFonts w:ascii="仿宋" w:hAnsi="仿宋"/>
          <w:bCs/>
          <w:kern w:val="0"/>
        </w:rPr>
        <w:t xml:space="preserve">+平仓盈亏+入金-出金-手续费（等） </w:t>
      </w:r>
    </w:p>
    <w:p>
      <w:pPr>
        <w:spacing w:line="360" w:lineRule="auto"/>
        <w:ind w:firstLine="480" w:firstLineChars="200"/>
        <w:rPr>
          <w:rFonts w:ascii="仿宋" w:hAnsi="仿宋"/>
          <w:bCs/>
          <w:kern w:val="0"/>
        </w:rPr>
      </w:pPr>
      <w:r>
        <w:rPr>
          <w:rFonts w:hint="eastAsia" w:ascii="仿宋" w:hAnsi="仿宋"/>
          <w:bCs/>
          <w:kern w:val="0"/>
        </w:rPr>
        <w:t>客户权益</w:t>
      </w:r>
      <w:r>
        <w:rPr>
          <w:rFonts w:ascii="仿宋" w:hAnsi="仿宋"/>
          <w:bCs/>
          <w:kern w:val="0"/>
        </w:rPr>
        <w:t xml:space="preserve">=当日结存+浮动盈亏 </w:t>
      </w:r>
    </w:p>
    <w:p>
      <w:pPr>
        <w:spacing w:line="360" w:lineRule="auto"/>
        <w:ind w:firstLine="480" w:firstLineChars="200"/>
        <w:rPr>
          <w:rFonts w:ascii="仿宋" w:hAnsi="仿宋"/>
          <w:bCs/>
          <w:kern w:val="0"/>
        </w:rPr>
      </w:pPr>
      <w:r>
        <w:rPr>
          <w:rFonts w:hint="eastAsia" w:ascii="仿宋" w:hAnsi="仿宋"/>
          <w:bCs/>
          <w:kern w:val="0"/>
        </w:rPr>
        <w:t>可用资金</w:t>
      </w:r>
      <w:r>
        <w:rPr>
          <w:rFonts w:ascii="仿宋" w:hAnsi="仿宋"/>
          <w:bCs/>
          <w:kern w:val="0"/>
        </w:rPr>
        <w:t>=客户权益-保证金占用</w:t>
      </w:r>
    </w:p>
    <w:p>
      <w:pPr>
        <w:spacing w:line="360" w:lineRule="auto"/>
        <w:ind w:firstLine="480" w:firstLineChars="200"/>
        <w:rPr>
          <w:rFonts w:ascii="仿宋" w:hAnsi="仿宋"/>
          <w:bCs/>
          <w:kern w:val="0"/>
        </w:rPr>
      </w:pPr>
      <w:r>
        <w:rPr>
          <w:rFonts w:ascii="仿宋" w:hAnsi="仿宋"/>
          <w:bCs/>
          <w:kern w:val="0"/>
        </w:rPr>
        <w:t>4</w:t>
      </w:r>
      <w:r>
        <w:rPr>
          <w:rFonts w:hint="eastAsia" w:ascii="仿宋" w:hAnsi="仿宋"/>
          <w:bCs/>
          <w:kern w:val="0"/>
        </w:rPr>
        <w:t>、</w:t>
      </w:r>
      <w:r>
        <w:rPr>
          <w:rFonts w:ascii="仿宋" w:hAnsi="仿宋"/>
          <w:bCs/>
          <w:kern w:val="0"/>
        </w:rPr>
        <w:t>交割</w:t>
      </w:r>
    </w:p>
    <w:p>
      <w:pPr>
        <w:spacing w:line="360" w:lineRule="auto"/>
        <w:ind w:firstLine="480" w:firstLineChars="200"/>
        <w:rPr>
          <w:rFonts w:ascii="仿宋" w:hAnsi="仿宋"/>
          <w:bCs/>
          <w:kern w:val="0"/>
        </w:rPr>
      </w:pPr>
      <w:r>
        <w:rPr>
          <w:rFonts w:hint="eastAsia" w:ascii="仿宋" w:hAnsi="仿宋"/>
          <w:bCs/>
          <w:kern w:val="0"/>
        </w:rPr>
        <w:t>交割是指期货合约到期时，按照期货交易所的规则和程序，交易双方通过该合约所载标的物所有权的转移，或者按照交割结算价进行现金差价结算，了结到期未平仓合约的过程。其中，以标的物所有权转移方式进行的交割为实物交割；按结算价进行现金差价结算的交割方式为现金交割。一般来说，商品期货以实物交割方式为主；股票指数期货、短期利率期货多采用现金交割方式。</w:t>
      </w:r>
    </w:p>
    <w:p>
      <w:pPr>
        <w:spacing w:line="360" w:lineRule="auto"/>
        <w:ind w:firstLine="480" w:firstLineChars="200"/>
        <w:rPr>
          <w:rFonts w:ascii="仿宋" w:hAnsi="仿宋"/>
          <w:bCs/>
          <w:kern w:val="0"/>
        </w:rPr>
      </w:pPr>
      <w:r>
        <w:rPr>
          <w:rFonts w:hint="eastAsia" w:ascii="仿宋" w:hAnsi="仿宋"/>
          <w:bCs/>
          <w:kern w:val="0"/>
        </w:rPr>
        <w:t>实物交割方式包括集中交割和滚动交割两种。</w:t>
      </w:r>
    </w:p>
    <w:p>
      <w:pPr>
        <w:spacing w:line="360" w:lineRule="auto"/>
        <w:ind w:firstLine="480" w:firstLineChars="200"/>
        <w:rPr>
          <w:rFonts w:ascii="仿宋" w:hAnsi="仿宋"/>
          <w:bCs/>
          <w:kern w:val="0"/>
        </w:rPr>
      </w:pPr>
      <w:r>
        <w:rPr>
          <w:rFonts w:hint="eastAsia" w:ascii="仿宋" w:hAnsi="仿宋"/>
          <w:bCs/>
          <w:kern w:val="0"/>
        </w:rPr>
        <w:t>①集中交割。集中交割也叫一次性交割，是指所有到期合约在交割月份最后交易日过后一次性集中交割的交割方式。</w:t>
      </w:r>
    </w:p>
    <w:p>
      <w:pPr>
        <w:spacing w:line="360" w:lineRule="auto"/>
        <w:ind w:firstLine="480" w:firstLineChars="200"/>
        <w:rPr>
          <w:rFonts w:ascii="仿宋" w:hAnsi="仿宋"/>
          <w:bCs/>
          <w:kern w:val="0"/>
        </w:rPr>
      </w:pPr>
      <w:r>
        <w:rPr>
          <w:rFonts w:hint="eastAsia" w:ascii="仿宋" w:hAnsi="仿宋"/>
          <w:bCs/>
          <w:kern w:val="0"/>
        </w:rPr>
        <w:t>②滚动交割。滚动交割是指在合约进入交割月以后，在交割月第一个交易日至交割月最后交易日前一交易日之间进行交割的交割方式。滚动交割使交易者在交易时间的选择上更为灵活，可减少储存时间，降低交割成本。</w:t>
      </w:r>
      <w:r>
        <w:rPr>
          <w:rFonts w:ascii="仿宋" w:hAnsi="仿宋"/>
          <w:bCs/>
          <w:kern w:val="0"/>
        </w:rPr>
        <w:t xml:space="preserve"> </w:t>
      </w:r>
    </w:p>
    <w:p>
      <w:pPr>
        <w:spacing w:line="360" w:lineRule="auto"/>
        <w:ind w:firstLine="480" w:firstLineChars="200"/>
        <w:rPr>
          <w:rFonts w:ascii="仿宋" w:hAnsi="仿宋"/>
          <w:bCs/>
          <w:kern w:val="0"/>
        </w:rPr>
      </w:pPr>
      <w:r>
        <w:rPr>
          <w:rFonts w:hint="eastAsia" w:ascii="仿宋" w:hAnsi="仿宋"/>
          <w:bCs/>
          <w:kern w:val="0"/>
        </w:rPr>
        <w:t>实物交割结算价是指在实物交割时商品交收所依据的基准价格。交割商品计价以交割结算价为基础，再加上不同等级商品质量升贴水以及异地交割仓库与基准交割仓库的升贴水。</w:t>
      </w:r>
    </w:p>
    <w:p>
      <w:pPr>
        <w:spacing w:line="360" w:lineRule="auto"/>
        <w:ind w:firstLine="480" w:firstLineChars="200"/>
        <w:rPr>
          <w:rFonts w:ascii="仿宋" w:hAnsi="仿宋"/>
          <w:bCs/>
          <w:kern w:val="0"/>
        </w:rPr>
      </w:pPr>
      <w:r>
        <w:rPr>
          <w:rFonts w:hint="eastAsia" w:ascii="仿宋" w:hAnsi="仿宋"/>
          <w:bCs/>
          <w:kern w:val="0"/>
        </w:rPr>
        <w:t>标准仓单，是指交割仓库开具并经期货交易所认定的标准化提货凭证。</w:t>
      </w:r>
    </w:p>
    <w:p>
      <w:pPr>
        <w:spacing w:line="360" w:lineRule="auto"/>
        <w:ind w:firstLine="480" w:firstLineChars="200"/>
        <w:rPr>
          <w:rFonts w:ascii="仿宋" w:hAnsi="仿宋"/>
          <w:bCs/>
          <w:kern w:val="0"/>
        </w:rPr>
      </w:pPr>
      <w:r>
        <w:rPr>
          <w:rFonts w:hint="eastAsia" w:ascii="仿宋" w:hAnsi="仿宋"/>
          <w:bCs/>
          <w:kern w:val="0"/>
        </w:rPr>
        <w:t>在实物交割的具体实施中，买卖双方并不是直接进行实物商品的交收，而是交收代表商品所有权的标准仓单，因此，标准仓单在实物交割中扮演十分重要的角色。</w:t>
      </w:r>
    </w:p>
    <w:p>
      <w:pPr>
        <w:spacing w:line="360" w:lineRule="auto"/>
        <w:ind w:firstLine="480" w:firstLineChars="200"/>
        <w:rPr>
          <w:rFonts w:ascii="仿宋" w:hAnsi="仿宋"/>
          <w:bCs/>
          <w:kern w:val="0"/>
        </w:rPr>
      </w:pPr>
      <w:r>
        <w:rPr>
          <w:rFonts w:hint="eastAsia" w:ascii="仿宋" w:hAnsi="仿宋"/>
          <w:bCs/>
          <w:kern w:val="0"/>
        </w:rPr>
        <w:t>标准仓单经交易所注册后生效，可用于交割、转让、提货、质押等。</w:t>
      </w:r>
    </w:p>
    <w:p>
      <w:pPr>
        <w:spacing w:line="360" w:lineRule="auto"/>
        <w:ind w:firstLine="480" w:firstLineChars="200"/>
        <w:rPr>
          <w:rFonts w:ascii="仿宋" w:hAnsi="仿宋" w:cs="仿宋"/>
          <w:bCs/>
          <w:kern w:val="0"/>
        </w:rPr>
      </w:pPr>
    </w:p>
    <w:p>
      <w:pPr>
        <w:pStyle w:val="3"/>
        <w:rPr>
          <w:sz w:val="24"/>
          <w:szCs w:val="24"/>
        </w:rPr>
      </w:pPr>
      <w:bookmarkStart w:id="33" w:name="_Toc3896681"/>
      <w:bookmarkStart w:id="34" w:name="_Toc445043864"/>
      <w:r>
        <w:rPr>
          <w:rFonts w:hint="eastAsia"/>
          <w:sz w:val="24"/>
          <w:szCs w:val="24"/>
        </w:rPr>
        <w:t>四、套期保值</w:t>
      </w:r>
      <w:bookmarkEnd w:id="33"/>
      <w:bookmarkEnd w:id="34"/>
    </w:p>
    <w:p>
      <w:pPr>
        <w:pStyle w:val="4"/>
        <w:spacing w:before="0" w:after="0" w:line="360" w:lineRule="auto"/>
        <w:rPr>
          <w:rFonts w:ascii="仿宋" w:hAnsi="仿宋"/>
          <w:szCs w:val="24"/>
        </w:rPr>
      </w:pPr>
      <w:bookmarkStart w:id="35" w:name="_Toc445043865"/>
      <w:bookmarkStart w:id="36" w:name="_Toc3896682"/>
      <w:r>
        <w:rPr>
          <w:rFonts w:hint="eastAsia" w:ascii="仿宋" w:hAnsi="仿宋"/>
          <w:szCs w:val="24"/>
        </w:rPr>
        <w:t>（一）套期保值种类和应用</w:t>
      </w:r>
      <w:bookmarkEnd w:id="35"/>
      <w:bookmarkEnd w:id="36"/>
    </w:p>
    <w:p>
      <w:pPr>
        <w:widowControl/>
        <w:spacing w:line="360" w:lineRule="auto"/>
        <w:ind w:firstLine="480" w:firstLineChars="200"/>
        <w:textAlignment w:val="top"/>
        <w:rPr>
          <w:rFonts w:ascii="仿宋" w:hAnsi="仿宋" w:cs="仿宋"/>
        </w:rPr>
      </w:pPr>
      <w:r>
        <w:rPr>
          <w:rFonts w:hint="eastAsia" w:ascii="仿宋" w:hAnsi="仿宋" w:cs="仿宋"/>
        </w:rPr>
        <w:t>套期保值是指企业通过持有与其现货市场头寸相反的期货合约，或将期货合约作为其现货市场未来要进行的交易的替代物，以期对冲价格风险的方式。企业通过套期保值，可以降低价格风险对企业经营活动的影响，实现稳健经营。</w:t>
      </w:r>
    </w:p>
    <w:p>
      <w:pPr>
        <w:spacing w:line="360" w:lineRule="auto"/>
        <w:ind w:firstLine="480" w:firstLineChars="200"/>
        <w:rPr>
          <w:rFonts w:ascii="仿宋" w:hAnsi="仿宋" w:cs="仿宋"/>
        </w:rPr>
      </w:pPr>
      <w:r>
        <w:rPr>
          <w:rFonts w:hint="eastAsia" w:ascii="仿宋" w:hAnsi="仿宋" w:cs="仿宋"/>
        </w:rPr>
        <w:t>套期保值分为两种：一种是用来回避未来某种商品或资产价格下跌的风险，称为卖出套期保值；另一种是用来回避未来某种商品或资产价格上涨的风险，称为买入套期保值。</w:t>
      </w:r>
    </w:p>
    <w:p>
      <w:pPr>
        <w:spacing w:line="360" w:lineRule="auto"/>
        <w:ind w:firstLine="480" w:firstLineChars="200"/>
        <w:rPr>
          <w:rFonts w:ascii="仿宋" w:hAnsi="仿宋" w:cs="仿宋"/>
        </w:rPr>
      </w:pPr>
      <w:r>
        <w:rPr>
          <w:rFonts w:hint="eastAsia" w:ascii="仿宋" w:hAnsi="仿宋" w:cs="仿宋"/>
        </w:rPr>
        <w:t>卖出套期保值（</w:t>
      </w:r>
      <w:r>
        <w:rPr>
          <w:rFonts w:ascii="仿宋" w:hAnsi="仿宋" w:cs="仿宋"/>
        </w:rPr>
        <w:t>Selling Hedging），又称空头套期保值（Short Hedging），是指套期保值者通过在期货市场建立空头头寸，预期</w:t>
      </w:r>
      <w:r>
        <w:rPr>
          <w:rFonts w:hint="eastAsia" w:ascii="仿宋" w:hAnsi="仿宋" w:cs="仿宋"/>
        </w:rPr>
        <w:t>对冲其目前持有的或者未来将卖出的商品或资产的价格下跌风险的操作。</w:t>
      </w:r>
    </w:p>
    <w:p>
      <w:pPr>
        <w:spacing w:line="360" w:lineRule="auto"/>
        <w:ind w:firstLine="480" w:firstLineChars="200"/>
        <w:rPr>
          <w:rFonts w:ascii="仿宋" w:hAnsi="仿宋" w:cs="仿宋"/>
        </w:rPr>
      </w:pPr>
      <w:r>
        <w:rPr>
          <w:rFonts w:hint="eastAsia" w:ascii="仿宋" w:hAnsi="仿宋" w:cs="仿宋"/>
        </w:rPr>
        <w:t>买入套期保值（</w:t>
      </w:r>
      <w:r>
        <w:rPr>
          <w:rFonts w:ascii="仿宋" w:hAnsi="仿宋" w:cs="仿宋"/>
        </w:rPr>
        <w:t>Buying Hedging），又称多头套期保值（Long Hedging），是指套期保值者通过在期货市场建立多头头寸，预期</w:t>
      </w:r>
      <w:r>
        <w:rPr>
          <w:rFonts w:hint="eastAsia" w:ascii="仿宋" w:hAnsi="仿宋" w:cs="仿宋"/>
        </w:rPr>
        <w:t>对冲其现货商品或资产空头，或者未来将买入的商品或资产的价格上涨风险的操作。</w:t>
      </w:r>
    </w:p>
    <w:p>
      <w:pPr>
        <w:spacing w:line="360" w:lineRule="auto"/>
        <w:ind w:firstLine="480" w:firstLineChars="200"/>
        <w:rPr>
          <w:rFonts w:ascii="仿宋" w:hAnsi="仿宋" w:cs="仿宋"/>
        </w:rPr>
      </w:pPr>
      <w:r>
        <w:rPr>
          <w:rFonts w:hint="eastAsia" w:ascii="仿宋" w:hAnsi="仿宋" w:cs="仿宋"/>
        </w:rPr>
        <w:t>卖出套期保值的操作主要适用于以下情形：</w:t>
      </w:r>
    </w:p>
    <w:p>
      <w:pPr>
        <w:spacing w:line="360" w:lineRule="auto"/>
        <w:ind w:firstLine="480" w:firstLineChars="200"/>
        <w:rPr>
          <w:rFonts w:ascii="仿宋" w:hAnsi="仿宋" w:cs="仿宋"/>
        </w:rPr>
      </w:pPr>
      <w:r>
        <w:rPr>
          <w:rFonts w:hint="eastAsia" w:ascii="仿宋" w:hAnsi="仿宋" w:cs="仿宋"/>
        </w:rPr>
        <w:t>第一，持有某种商品或资产（此时持有现货多头头寸），担心市场价格下跌，使其持有的商品或资产市场价值下降，或者其销售收益下降。</w:t>
      </w:r>
    </w:p>
    <w:p>
      <w:pPr>
        <w:spacing w:line="360" w:lineRule="auto"/>
        <w:ind w:firstLine="480" w:firstLineChars="200"/>
        <w:rPr>
          <w:rFonts w:ascii="仿宋" w:hAnsi="仿宋" w:cs="仿宋"/>
        </w:rPr>
      </w:pPr>
      <w:r>
        <w:rPr>
          <w:rFonts w:ascii="仿宋" w:hAnsi="仿宋" w:cs="仿宋"/>
        </w:rPr>
        <w:t>第二，已经按固定价格买入未来交收的商品或资产（此时持有现货多头头寸），担心市场价格下跌，使其商品或资产市场价值下降或其销售收益下降。</w:t>
      </w:r>
    </w:p>
    <w:p>
      <w:pPr>
        <w:spacing w:line="360" w:lineRule="auto"/>
        <w:ind w:firstLine="480" w:firstLineChars="200"/>
        <w:rPr>
          <w:rFonts w:ascii="仿宋" w:hAnsi="仿宋" w:cs="仿宋"/>
        </w:rPr>
      </w:pPr>
      <w:r>
        <w:rPr>
          <w:rFonts w:hint="eastAsia" w:ascii="仿宋" w:hAnsi="仿宋" w:cs="仿宋"/>
        </w:rPr>
        <w:t>第三，预计在未来要销售某种商品或资产，但销售价格尚未确定，担心市场价格下跌，使其销售收益下降。</w:t>
      </w:r>
    </w:p>
    <w:p>
      <w:pPr>
        <w:spacing w:line="360" w:lineRule="auto"/>
        <w:ind w:firstLine="480" w:firstLineChars="200"/>
        <w:rPr>
          <w:rFonts w:ascii="仿宋" w:hAnsi="仿宋" w:cs="仿宋"/>
        </w:rPr>
      </w:pPr>
      <w:r>
        <w:rPr>
          <w:rFonts w:hint="eastAsia" w:ascii="仿宋" w:hAnsi="仿宋" w:cs="仿宋"/>
        </w:rPr>
        <w:t>买入套期保值的操作，主要适用于以下情形：</w:t>
      </w:r>
    </w:p>
    <w:p>
      <w:pPr>
        <w:spacing w:line="360" w:lineRule="auto"/>
        <w:ind w:firstLine="480" w:firstLineChars="200"/>
        <w:rPr>
          <w:rFonts w:ascii="仿宋" w:hAnsi="仿宋" w:cs="仿宋"/>
        </w:rPr>
      </w:pPr>
      <w:r>
        <w:rPr>
          <w:rFonts w:ascii="仿宋" w:hAnsi="仿宋" w:cs="仿宋"/>
        </w:rPr>
        <w:t xml:space="preserve">第一，预计在未来要购买某种商品或资产，购买价格尚未确定时，担心市场价格上涨，使其购入成本提高。   </w:t>
      </w:r>
    </w:p>
    <w:p>
      <w:pPr>
        <w:tabs>
          <w:tab w:val="left" w:pos="0"/>
        </w:tabs>
        <w:spacing w:line="360" w:lineRule="auto"/>
        <w:ind w:firstLine="480" w:firstLineChars="200"/>
        <w:rPr>
          <w:rFonts w:ascii="仿宋" w:hAnsi="仿宋" w:cs="仿宋"/>
        </w:rPr>
      </w:pPr>
      <w:r>
        <w:rPr>
          <w:rFonts w:hint="eastAsia" w:ascii="仿宋" w:hAnsi="仿宋" w:cs="仿宋"/>
        </w:rPr>
        <w:t>第二，目前尚未持有某种商品或资产，但已按固定价格将该商品或资产卖出（此时处于现货空头头寸），担心市场价格上涨，影响其销售收益或者采购成本。例如，某商品的生产企业，已按固定价格将商品销售，那么待商品生产出来后，其销售收益就不能随市场价格上涨而增加。再例如，某商品的经销商，已按固定价格将商品销售，待其采购该商品时，价格上涨会使其采购成本提高。这都会使企业面临风险。</w:t>
      </w:r>
    </w:p>
    <w:p>
      <w:pPr>
        <w:spacing w:line="360" w:lineRule="auto"/>
        <w:ind w:firstLine="480" w:firstLineChars="200"/>
        <w:rPr>
          <w:rFonts w:ascii="仿宋" w:hAnsi="仿宋" w:cs="仿宋"/>
        </w:rPr>
      </w:pPr>
      <w:r>
        <w:rPr>
          <w:rFonts w:hint="eastAsia" w:ascii="仿宋" w:hAnsi="仿宋" w:cs="仿宋"/>
        </w:rPr>
        <w:t>第三，按固定价格销售某商品的产成品及其副产品，但尚未购买该商品进行生产（此时处于现货空头头寸），担心市场价格上涨，购入成本提高。例如，某服装企业已签订销售合同，按某价格卖出一批棉质服装，但尚未开始生产。若之后棉花价格上涨，其要遭受成本上升的风险。</w:t>
      </w:r>
    </w:p>
    <w:p>
      <w:pPr>
        <w:spacing w:line="360" w:lineRule="auto"/>
        <w:ind w:firstLine="480" w:firstLineChars="200"/>
        <w:rPr>
          <w:rFonts w:ascii="仿宋" w:hAnsi="仿宋" w:cs="仿宋"/>
          <w:bCs/>
          <w:kern w:val="0"/>
        </w:rPr>
      </w:pPr>
    </w:p>
    <w:p>
      <w:pPr>
        <w:pStyle w:val="4"/>
        <w:spacing w:before="0" w:after="0" w:line="360" w:lineRule="auto"/>
        <w:rPr>
          <w:rFonts w:ascii="仿宋" w:hAnsi="仿宋"/>
          <w:szCs w:val="24"/>
        </w:rPr>
      </w:pPr>
      <w:bookmarkStart w:id="37" w:name="_Toc3896683"/>
      <w:bookmarkStart w:id="38" w:name="_Toc445043866"/>
      <w:r>
        <w:rPr>
          <w:rFonts w:hint="eastAsia" w:ascii="仿宋" w:hAnsi="仿宋"/>
          <w:szCs w:val="24"/>
        </w:rPr>
        <w:t>（二）基差与套期保值</w:t>
      </w:r>
      <w:bookmarkEnd w:id="37"/>
      <w:bookmarkEnd w:id="38"/>
    </w:p>
    <w:p>
      <w:pPr>
        <w:spacing w:line="360" w:lineRule="auto"/>
        <w:ind w:firstLine="480" w:firstLineChars="200"/>
        <w:rPr>
          <w:rFonts w:ascii="仿宋" w:hAnsi="仿宋" w:cs="仿宋"/>
        </w:rPr>
      </w:pPr>
      <w:r>
        <w:rPr>
          <w:rFonts w:hint="eastAsia" w:ascii="仿宋" w:hAnsi="仿宋" w:cs="仿宋"/>
        </w:rPr>
        <w:t>在套期保值操作中，当期货头寸盈（亏）与现货头寸亏（盈）幅度是完全相同的，两个市场的盈亏是完全冲抵的，这种套期保值被称为完全套期保值或理想套期保值。事实上，盈亏完全冲抵是一种理想化的情形，现实中套期保值操作的效果更可能是不完全套期保值或非理想套期保值，即两个市场盈亏只是在一定程度上相抵，而非刚好完全相抵。</w:t>
      </w:r>
    </w:p>
    <w:p>
      <w:pPr>
        <w:spacing w:line="360" w:lineRule="auto"/>
        <w:ind w:firstLine="480" w:firstLineChars="200"/>
        <w:rPr>
          <w:rFonts w:ascii="仿宋" w:hAnsi="仿宋" w:cs="仿宋"/>
          <w:bCs/>
          <w:kern w:val="0"/>
        </w:rPr>
      </w:pPr>
      <w:r>
        <w:rPr>
          <w:rFonts w:hint="eastAsia" w:ascii="仿宋" w:hAnsi="仿宋" w:cs="仿宋"/>
        </w:rPr>
        <w:t>在导致不完全套期保值的原因中，现货市场和期货市场价格变动幅度的不完全一致是最常见的情形。我们引入基差的概念来分析期现价格变动幅度不一致带来的对套期保值效果的影响。</w:t>
      </w:r>
    </w:p>
    <w:p>
      <w:pPr>
        <w:spacing w:line="360" w:lineRule="auto"/>
        <w:ind w:firstLine="480" w:firstLineChars="200"/>
        <w:rPr>
          <w:rFonts w:ascii="仿宋" w:hAnsi="仿宋" w:cs="仿宋"/>
        </w:rPr>
      </w:pPr>
      <w:r>
        <w:rPr>
          <w:rFonts w:hint="eastAsia" w:ascii="仿宋" w:hAnsi="仿宋" w:cs="仿宋"/>
        </w:rPr>
        <w:t>基差是某一特定地点某种商品或资产的现货价格与相同商品或资产的某一特定期货合约价格间的价差。用公式可表示为：基差＝现货价格－期货价格。</w:t>
      </w:r>
    </w:p>
    <w:p>
      <w:pPr>
        <w:spacing w:line="360" w:lineRule="auto"/>
        <w:ind w:firstLine="480" w:firstLineChars="200"/>
        <w:rPr>
          <w:rFonts w:ascii="仿宋" w:hAnsi="仿宋" w:cs="仿宋"/>
        </w:rPr>
      </w:pPr>
      <w:r>
        <w:rPr>
          <w:rFonts w:hint="eastAsia" w:ascii="仿宋" w:hAnsi="仿宋" w:cs="仿宋"/>
        </w:rPr>
        <w:t>通常情况下，期货价格高于现货价格，基差应该为负值。基差小于</w:t>
      </w:r>
      <w:r>
        <w:rPr>
          <w:rFonts w:ascii="仿宋" w:hAnsi="仿宋" w:cs="仿宋"/>
        </w:rPr>
        <w:t>0的市场称为正向市场，</w:t>
      </w:r>
      <w:r>
        <w:rPr>
          <w:rFonts w:hint="eastAsia" w:ascii="仿宋" w:hAnsi="仿宋" w:cs="仿宋"/>
        </w:rPr>
        <w:t>基差大于</w:t>
      </w:r>
      <w:r>
        <w:rPr>
          <w:rFonts w:ascii="仿宋" w:hAnsi="仿宋" w:cs="仿宋"/>
        </w:rPr>
        <w:t>0的市场称为</w:t>
      </w:r>
      <w:r>
        <w:rPr>
          <w:rFonts w:hint="eastAsia" w:ascii="仿宋" w:hAnsi="仿宋" w:cs="仿宋"/>
        </w:rPr>
        <w:t>反向市场。</w:t>
      </w:r>
    </w:p>
    <w:p>
      <w:pPr>
        <w:spacing w:line="360" w:lineRule="auto"/>
        <w:ind w:firstLine="480" w:firstLineChars="200"/>
        <w:rPr>
          <w:rFonts w:ascii="仿宋" w:hAnsi="仿宋" w:cs="仿宋"/>
        </w:rPr>
      </w:pPr>
      <w:r>
        <w:rPr>
          <w:rFonts w:hint="eastAsia" w:ascii="仿宋" w:hAnsi="仿宋" w:cs="仿宋"/>
        </w:rPr>
        <w:t>基差代数值变大，称为“走强”（</w:t>
      </w:r>
      <w:r>
        <w:rPr>
          <w:rFonts w:ascii="仿宋" w:hAnsi="仿宋" w:cs="仿宋"/>
        </w:rPr>
        <w:t>Stronger）。</w:t>
      </w:r>
      <w:r>
        <w:rPr>
          <w:rFonts w:hint="eastAsia" w:ascii="仿宋" w:hAnsi="仿宋" w:cs="仿宋"/>
        </w:rPr>
        <w:t>基差走强常见的情形有：现货价格涨幅超过期货价格涨幅，以及现货价格跌幅小于期货价格跌幅。这意味着，相对于期货价格表现而言，现货价格走势相对较强。</w:t>
      </w:r>
    </w:p>
    <w:p>
      <w:pPr>
        <w:spacing w:line="360" w:lineRule="auto"/>
        <w:ind w:firstLine="480" w:firstLineChars="200"/>
        <w:rPr>
          <w:rFonts w:ascii="仿宋" w:hAnsi="仿宋" w:cs="仿宋"/>
        </w:rPr>
      </w:pPr>
      <w:r>
        <w:rPr>
          <w:rFonts w:hint="eastAsia" w:ascii="仿宋" w:hAnsi="仿宋" w:cs="仿宋"/>
        </w:rPr>
        <w:t>基差代数值变小，称为“走弱”（</w:t>
      </w:r>
      <w:r>
        <w:rPr>
          <w:rFonts w:ascii="仿宋" w:hAnsi="仿宋" w:cs="仿宋"/>
        </w:rPr>
        <w:t>Weaker）。</w:t>
      </w:r>
      <w:r>
        <w:rPr>
          <w:rFonts w:hint="eastAsia" w:ascii="仿宋" w:hAnsi="仿宋" w:cs="仿宋"/>
        </w:rPr>
        <w:t>基差走弱常见的情形有：现货价格涨幅小于期货价格涨幅，以及现货价格跌幅超过期货价格跌幅。这意味着，相对于期货价格表现而言，现货价格走势相对较弱。</w:t>
      </w:r>
    </w:p>
    <w:p>
      <w:pPr>
        <w:spacing w:line="360" w:lineRule="auto"/>
        <w:ind w:firstLine="480" w:firstLineChars="200"/>
        <w:rPr>
          <w:rFonts w:ascii="仿宋" w:hAnsi="仿宋" w:cs="仿宋"/>
        </w:rPr>
      </w:pPr>
      <w:r>
        <w:rPr>
          <w:rFonts w:hint="eastAsia" w:ascii="仿宋" w:hAnsi="仿宋" w:cs="仿宋"/>
        </w:rPr>
        <w:t>基差变化对套期保值效果的影响：</w:t>
      </w:r>
    </w:p>
    <w:p>
      <w:pPr>
        <w:spacing w:line="360" w:lineRule="auto"/>
        <w:ind w:firstLine="480" w:firstLineChars="200"/>
        <w:rPr>
          <w:rFonts w:ascii="仿宋" w:hAnsi="仿宋" w:cs="仿宋"/>
        </w:rPr>
      </w:pPr>
      <w:r>
        <w:rPr>
          <w:rFonts w:hint="eastAsia" w:ascii="仿宋" w:hAnsi="仿宋" w:cs="仿宋"/>
        </w:rPr>
        <w:t>假设当前（建仓时）现货价格为</w:t>
      </w:r>
      <w:r>
        <w:rPr>
          <w:rFonts w:ascii="仿宋" w:hAnsi="仿宋" w:cs="仿宋"/>
        </w:rPr>
        <w:t>S</w:t>
      </w:r>
      <w:r>
        <w:rPr>
          <w:rFonts w:ascii="仿宋" w:hAnsi="仿宋" w:cs="仿宋"/>
          <w:vertAlign w:val="subscript"/>
        </w:rPr>
        <w:t>1</w:t>
      </w:r>
      <w:r>
        <w:rPr>
          <w:rFonts w:hint="eastAsia" w:ascii="仿宋" w:hAnsi="仿宋" w:cs="仿宋"/>
        </w:rPr>
        <w:t>，期货价格为</w:t>
      </w:r>
      <w:r>
        <w:rPr>
          <w:rFonts w:ascii="仿宋" w:hAnsi="仿宋" w:cs="仿宋"/>
        </w:rPr>
        <w:t>F</w:t>
      </w:r>
      <w:r>
        <w:rPr>
          <w:rFonts w:ascii="仿宋" w:hAnsi="仿宋" w:cs="仿宋"/>
          <w:vertAlign w:val="subscript"/>
        </w:rPr>
        <w:t>1</w:t>
      </w:r>
      <w:r>
        <w:rPr>
          <w:rFonts w:hint="eastAsia" w:ascii="仿宋" w:hAnsi="仿宋" w:cs="仿宋"/>
        </w:rPr>
        <w:t>，基差为</w:t>
      </w:r>
      <w:r>
        <w:rPr>
          <w:rFonts w:ascii="仿宋" w:hAnsi="仿宋" w:cs="仿宋"/>
        </w:rPr>
        <w:t>b</w:t>
      </w:r>
      <w:r>
        <w:rPr>
          <w:rFonts w:ascii="仿宋" w:hAnsi="仿宋" w:cs="仿宋"/>
          <w:vertAlign w:val="subscript"/>
        </w:rPr>
        <w:t>1</w:t>
      </w:r>
      <w:r>
        <w:rPr>
          <w:rFonts w:hint="eastAsia" w:ascii="仿宋" w:hAnsi="仿宋" w:cs="仿宋"/>
        </w:rPr>
        <w:t>；未来（平仓时）现货价格为</w:t>
      </w:r>
      <w:r>
        <w:rPr>
          <w:rFonts w:ascii="仿宋" w:hAnsi="仿宋" w:cs="仿宋"/>
        </w:rPr>
        <w:t>S</w:t>
      </w:r>
      <w:r>
        <w:rPr>
          <w:rFonts w:ascii="仿宋" w:hAnsi="仿宋" w:cs="仿宋"/>
          <w:vertAlign w:val="subscript"/>
        </w:rPr>
        <w:t>2</w:t>
      </w:r>
      <w:r>
        <w:rPr>
          <w:rFonts w:hint="eastAsia" w:ascii="仿宋" w:hAnsi="仿宋" w:cs="仿宋"/>
        </w:rPr>
        <w:t>，期货价格为</w:t>
      </w:r>
      <w:r>
        <w:rPr>
          <w:rFonts w:ascii="仿宋" w:hAnsi="仿宋" w:cs="仿宋"/>
        </w:rPr>
        <w:t>F</w:t>
      </w:r>
      <w:r>
        <w:rPr>
          <w:rFonts w:ascii="仿宋" w:hAnsi="仿宋" w:cs="仿宋"/>
          <w:vertAlign w:val="subscript"/>
        </w:rPr>
        <w:t>2</w:t>
      </w:r>
      <w:r>
        <w:rPr>
          <w:rFonts w:hint="eastAsia" w:ascii="仿宋" w:hAnsi="仿宋" w:cs="仿宋"/>
        </w:rPr>
        <w:t>，基差为</w:t>
      </w:r>
      <w:r>
        <w:rPr>
          <w:rFonts w:ascii="仿宋" w:hAnsi="仿宋" w:cs="仿宋"/>
        </w:rPr>
        <w:t>b</w:t>
      </w:r>
      <w:r>
        <w:rPr>
          <w:rFonts w:ascii="仿宋" w:hAnsi="仿宋" w:cs="仿宋"/>
          <w:vertAlign w:val="subscript"/>
        </w:rPr>
        <w:t>2</w:t>
      </w:r>
      <w:r>
        <w:rPr>
          <w:rFonts w:hint="eastAsia" w:ascii="仿宋" w:hAnsi="仿宋" w:cs="仿宋"/>
        </w:rPr>
        <w:t>。</w:t>
      </w:r>
    </w:p>
    <w:p>
      <w:pPr>
        <w:spacing w:line="360" w:lineRule="auto"/>
        <w:ind w:firstLine="480" w:firstLineChars="200"/>
        <w:rPr>
          <w:rFonts w:ascii="仿宋" w:hAnsi="仿宋" w:cs="仿宋"/>
        </w:rPr>
      </w:pPr>
      <w:r>
        <w:rPr>
          <w:rFonts w:hint="eastAsia" w:ascii="仿宋" w:hAnsi="仿宋" w:cs="仿宋"/>
        </w:rPr>
        <w:t>卖出套期保值者未来出售商品的实际售价</w:t>
      </w:r>
      <w:r>
        <w:rPr>
          <w:rFonts w:ascii="仿宋" w:hAnsi="仿宋" w:cs="仿宋"/>
        </w:rPr>
        <w:t>=S</w:t>
      </w:r>
      <w:r>
        <w:rPr>
          <w:rFonts w:ascii="仿宋" w:hAnsi="仿宋" w:cs="仿宋"/>
          <w:vertAlign w:val="subscript"/>
        </w:rPr>
        <w:t>2</w:t>
      </w:r>
      <w:r>
        <w:rPr>
          <w:rFonts w:ascii="仿宋" w:hAnsi="仿宋" w:cs="仿宋"/>
        </w:rPr>
        <w:t>+（F</w:t>
      </w:r>
      <w:r>
        <w:rPr>
          <w:rFonts w:ascii="仿宋" w:hAnsi="仿宋" w:cs="仿宋"/>
          <w:vertAlign w:val="subscript"/>
        </w:rPr>
        <w:t>1</w:t>
      </w:r>
      <w:r>
        <w:rPr>
          <w:rFonts w:ascii="仿宋" w:hAnsi="仿宋" w:cs="仿宋"/>
        </w:rPr>
        <w:t>+F</w:t>
      </w:r>
      <w:r>
        <w:rPr>
          <w:rFonts w:ascii="仿宋" w:hAnsi="仿宋" w:cs="仿宋"/>
          <w:vertAlign w:val="subscript"/>
        </w:rPr>
        <w:t>2</w:t>
      </w:r>
      <w:r>
        <w:rPr>
          <w:rFonts w:hint="eastAsia" w:ascii="仿宋" w:hAnsi="仿宋" w:cs="仿宋"/>
        </w:rPr>
        <w:t>）</w:t>
      </w:r>
    </w:p>
    <w:p>
      <w:pPr>
        <w:spacing w:line="360" w:lineRule="auto"/>
        <w:ind w:firstLine="480" w:firstLineChars="200"/>
        <w:rPr>
          <w:rFonts w:ascii="仿宋" w:hAnsi="仿宋" w:cs="仿宋"/>
          <w:vertAlign w:val="subscript"/>
        </w:rPr>
      </w:pPr>
      <w:r>
        <w:rPr>
          <w:rFonts w:ascii="仿宋" w:hAnsi="仿宋" w:cs="仿宋"/>
        </w:rPr>
        <w:t>=S</w:t>
      </w:r>
      <w:r>
        <w:rPr>
          <w:rFonts w:ascii="仿宋" w:hAnsi="仿宋" w:cs="仿宋"/>
          <w:vertAlign w:val="subscript"/>
        </w:rPr>
        <w:t>2</w:t>
      </w:r>
      <w:r>
        <w:rPr>
          <w:rFonts w:ascii="仿宋" w:hAnsi="仿宋" w:cs="仿宋"/>
        </w:rPr>
        <w:t>-F</w:t>
      </w:r>
      <w:r>
        <w:rPr>
          <w:rFonts w:ascii="仿宋" w:hAnsi="仿宋" w:cs="仿宋"/>
          <w:vertAlign w:val="subscript"/>
        </w:rPr>
        <w:t>2</w:t>
      </w:r>
      <w:r>
        <w:rPr>
          <w:rFonts w:ascii="仿宋" w:hAnsi="仿宋" w:cs="仿宋"/>
        </w:rPr>
        <w:t>+S</w:t>
      </w:r>
      <w:r>
        <w:rPr>
          <w:rFonts w:ascii="仿宋" w:hAnsi="仿宋" w:cs="仿宋"/>
          <w:vertAlign w:val="subscript"/>
        </w:rPr>
        <w:t>1</w:t>
      </w:r>
      <w:r>
        <w:rPr>
          <w:rFonts w:ascii="仿宋" w:hAnsi="仿宋" w:cs="仿宋"/>
        </w:rPr>
        <w:t>- S</w:t>
      </w:r>
      <w:r>
        <w:rPr>
          <w:rFonts w:ascii="仿宋" w:hAnsi="仿宋" w:cs="仿宋"/>
          <w:vertAlign w:val="subscript"/>
        </w:rPr>
        <w:t>1</w:t>
      </w:r>
      <w:r>
        <w:rPr>
          <w:rFonts w:ascii="仿宋" w:hAnsi="仿宋" w:cs="仿宋"/>
        </w:rPr>
        <w:t>+ F</w:t>
      </w:r>
      <w:r>
        <w:rPr>
          <w:rFonts w:ascii="仿宋" w:hAnsi="仿宋" w:cs="仿宋"/>
          <w:vertAlign w:val="subscript"/>
        </w:rPr>
        <w:t>1</w:t>
      </w:r>
    </w:p>
    <w:p>
      <w:pPr>
        <w:spacing w:line="360" w:lineRule="auto"/>
        <w:ind w:firstLine="480" w:firstLineChars="200"/>
        <w:rPr>
          <w:rFonts w:ascii="仿宋" w:hAnsi="仿宋" w:cs="仿宋"/>
        </w:rPr>
      </w:pPr>
      <w:r>
        <w:rPr>
          <w:rFonts w:ascii="仿宋" w:hAnsi="仿宋" w:cs="仿宋"/>
        </w:rPr>
        <w:t>= S</w:t>
      </w:r>
      <w:r>
        <w:rPr>
          <w:rFonts w:ascii="仿宋" w:hAnsi="仿宋" w:cs="仿宋"/>
          <w:vertAlign w:val="subscript"/>
        </w:rPr>
        <w:t>1</w:t>
      </w:r>
      <w:r>
        <w:rPr>
          <w:rFonts w:ascii="仿宋" w:hAnsi="仿宋" w:cs="仿宋"/>
        </w:rPr>
        <w:t>+b</w:t>
      </w:r>
      <w:r>
        <w:rPr>
          <w:rFonts w:ascii="仿宋" w:hAnsi="仿宋" w:cs="仿宋"/>
          <w:vertAlign w:val="subscript"/>
        </w:rPr>
        <w:t>2</w:t>
      </w:r>
      <w:r>
        <w:rPr>
          <w:rFonts w:ascii="仿宋" w:hAnsi="仿宋" w:cs="仿宋"/>
        </w:rPr>
        <w:t>-b</w:t>
      </w:r>
      <w:r>
        <w:rPr>
          <w:rFonts w:ascii="仿宋" w:hAnsi="仿宋" w:cs="仿宋"/>
          <w:vertAlign w:val="subscript"/>
        </w:rPr>
        <w:t>1</w:t>
      </w:r>
    </w:p>
    <w:p>
      <w:pPr>
        <w:spacing w:line="360" w:lineRule="auto"/>
        <w:ind w:firstLine="480" w:firstLineChars="200"/>
        <w:rPr>
          <w:rFonts w:ascii="仿宋" w:hAnsi="仿宋" w:cs="仿宋"/>
        </w:rPr>
      </w:pPr>
      <w:r>
        <w:rPr>
          <w:rFonts w:hint="eastAsia" w:ascii="仿宋" w:hAnsi="仿宋" w:cs="仿宋"/>
        </w:rPr>
        <w:t>由此看见，基差走强可使卖出套期保值者卖出商品的实际售价提高，未来卖出商品的实际售价比当前现货价格高出值等于基差走强值。因此，基差走强对卖出套期保值者有利，反之，基差走弱对卖出套期保值者不利。</w:t>
      </w:r>
    </w:p>
    <w:p>
      <w:pPr>
        <w:spacing w:line="360" w:lineRule="auto"/>
        <w:ind w:firstLine="480" w:firstLineChars="200"/>
        <w:rPr>
          <w:rFonts w:ascii="仿宋" w:hAnsi="仿宋" w:cs="仿宋"/>
        </w:rPr>
      </w:pPr>
      <w:r>
        <w:rPr>
          <w:rFonts w:hint="eastAsia" w:ascii="仿宋" w:hAnsi="仿宋" w:cs="仿宋"/>
        </w:rPr>
        <w:t>买进套期保值者未来购买商品的实际成本</w:t>
      </w:r>
      <w:r>
        <w:rPr>
          <w:rFonts w:ascii="仿宋" w:hAnsi="仿宋" w:cs="仿宋"/>
        </w:rPr>
        <w:t>=S</w:t>
      </w:r>
      <w:r>
        <w:rPr>
          <w:rFonts w:ascii="仿宋" w:hAnsi="仿宋" w:cs="仿宋"/>
          <w:vertAlign w:val="subscript"/>
        </w:rPr>
        <w:t>2</w:t>
      </w:r>
      <w:r>
        <w:rPr>
          <w:rFonts w:ascii="仿宋" w:hAnsi="仿宋" w:cs="仿宋"/>
        </w:rPr>
        <w:t>-（F</w:t>
      </w:r>
      <w:r>
        <w:rPr>
          <w:rFonts w:ascii="仿宋" w:hAnsi="仿宋" w:cs="仿宋"/>
          <w:vertAlign w:val="subscript"/>
        </w:rPr>
        <w:t>2</w:t>
      </w:r>
      <w:r>
        <w:rPr>
          <w:rFonts w:ascii="仿宋" w:hAnsi="仿宋" w:cs="仿宋"/>
        </w:rPr>
        <w:t>-F</w:t>
      </w:r>
      <w:r>
        <w:rPr>
          <w:rFonts w:ascii="仿宋" w:hAnsi="仿宋" w:cs="仿宋"/>
          <w:vertAlign w:val="subscript"/>
        </w:rPr>
        <w:t>1</w:t>
      </w:r>
      <w:r>
        <w:rPr>
          <w:rFonts w:hint="eastAsia" w:ascii="仿宋" w:hAnsi="仿宋" w:cs="仿宋"/>
        </w:rPr>
        <w:t>）</w:t>
      </w:r>
    </w:p>
    <w:p>
      <w:pPr>
        <w:spacing w:line="360" w:lineRule="auto"/>
        <w:ind w:firstLine="480" w:firstLineChars="200"/>
        <w:rPr>
          <w:rFonts w:ascii="仿宋" w:hAnsi="仿宋" w:cs="仿宋"/>
          <w:vertAlign w:val="subscript"/>
        </w:rPr>
      </w:pPr>
      <w:r>
        <w:rPr>
          <w:rFonts w:ascii="仿宋" w:hAnsi="仿宋" w:cs="仿宋"/>
        </w:rPr>
        <w:t>=S</w:t>
      </w:r>
      <w:r>
        <w:rPr>
          <w:rFonts w:ascii="仿宋" w:hAnsi="仿宋" w:cs="仿宋"/>
          <w:vertAlign w:val="subscript"/>
        </w:rPr>
        <w:t>2</w:t>
      </w:r>
      <w:r>
        <w:rPr>
          <w:rFonts w:ascii="仿宋" w:hAnsi="仿宋" w:cs="仿宋"/>
        </w:rPr>
        <w:t>-F</w:t>
      </w:r>
      <w:r>
        <w:rPr>
          <w:rFonts w:ascii="仿宋" w:hAnsi="仿宋" w:cs="仿宋"/>
          <w:vertAlign w:val="subscript"/>
        </w:rPr>
        <w:t>2</w:t>
      </w:r>
      <w:r>
        <w:rPr>
          <w:rFonts w:ascii="仿宋" w:hAnsi="仿宋" w:cs="仿宋"/>
        </w:rPr>
        <w:t>+F</w:t>
      </w:r>
      <w:r>
        <w:rPr>
          <w:rFonts w:ascii="仿宋" w:hAnsi="仿宋" w:cs="仿宋"/>
          <w:vertAlign w:val="subscript"/>
        </w:rPr>
        <w:t>1</w:t>
      </w:r>
      <w:r>
        <w:rPr>
          <w:rFonts w:ascii="仿宋" w:hAnsi="仿宋" w:cs="仿宋"/>
        </w:rPr>
        <w:t>-S</w:t>
      </w:r>
      <w:r>
        <w:rPr>
          <w:rFonts w:ascii="仿宋" w:hAnsi="仿宋" w:cs="仿宋"/>
          <w:vertAlign w:val="subscript"/>
        </w:rPr>
        <w:t>1</w:t>
      </w:r>
      <w:r>
        <w:rPr>
          <w:rFonts w:ascii="仿宋" w:hAnsi="仿宋" w:cs="仿宋"/>
        </w:rPr>
        <w:t>+S</w:t>
      </w:r>
      <w:r>
        <w:rPr>
          <w:rFonts w:ascii="仿宋" w:hAnsi="仿宋" w:cs="仿宋"/>
          <w:vertAlign w:val="subscript"/>
        </w:rPr>
        <w:t>1</w:t>
      </w:r>
    </w:p>
    <w:p>
      <w:pPr>
        <w:spacing w:line="360" w:lineRule="auto"/>
        <w:ind w:firstLine="480" w:firstLineChars="200"/>
        <w:rPr>
          <w:rFonts w:ascii="仿宋" w:hAnsi="仿宋" w:cs="仿宋"/>
        </w:rPr>
      </w:pPr>
      <w:r>
        <w:rPr>
          <w:rFonts w:ascii="仿宋" w:hAnsi="仿宋" w:cs="仿宋"/>
        </w:rPr>
        <w:t>=S</w:t>
      </w:r>
      <w:r>
        <w:rPr>
          <w:rFonts w:ascii="仿宋" w:hAnsi="仿宋" w:cs="仿宋"/>
          <w:vertAlign w:val="subscript"/>
        </w:rPr>
        <w:t>1</w:t>
      </w:r>
      <w:r>
        <w:rPr>
          <w:rFonts w:ascii="仿宋" w:hAnsi="仿宋" w:cs="仿宋"/>
        </w:rPr>
        <w:t>+（b</w:t>
      </w:r>
      <w:r>
        <w:rPr>
          <w:rFonts w:ascii="仿宋" w:hAnsi="仿宋" w:cs="仿宋"/>
          <w:vertAlign w:val="subscript"/>
        </w:rPr>
        <w:t>2</w:t>
      </w:r>
      <w:r>
        <w:rPr>
          <w:rFonts w:ascii="仿宋" w:hAnsi="仿宋" w:cs="仿宋"/>
        </w:rPr>
        <w:t>-b</w:t>
      </w:r>
      <w:r>
        <w:rPr>
          <w:rFonts w:ascii="仿宋" w:hAnsi="仿宋" w:cs="仿宋"/>
          <w:vertAlign w:val="subscript"/>
        </w:rPr>
        <w:t>1</w:t>
      </w:r>
      <w:r>
        <w:rPr>
          <w:rFonts w:hint="eastAsia" w:ascii="仿宋" w:hAnsi="仿宋" w:cs="仿宋"/>
        </w:rPr>
        <w:t>）</w:t>
      </w:r>
    </w:p>
    <w:p>
      <w:pPr>
        <w:spacing w:line="360" w:lineRule="auto"/>
        <w:ind w:firstLine="480" w:firstLineChars="200"/>
        <w:rPr>
          <w:rFonts w:ascii="仿宋" w:hAnsi="仿宋" w:cs="仿宋"/>
        </w:rPr>
      </w:pPr>
      <w:r>
        <w:rPr>
          <w:rFonts w:hint="eastAsia" w:ascii="仿宋" w:hAnsi="仿宋" w:cs="仿宋"/>
        </w:rPr>
        <w:t>由此可见，基差走强可使买入套期保值者购买商品的成本提高，未来购买商品的实际成本比现在现货价格高出值等于基差走强值。</w:t>
      </w:r>
    </w:p>
    <w:p>
      <w:pPr>
        <w:spacing w:line="360" w:lineRule="auto"/>
        <w:ind w:firstLine="480" w:firstLineChars="200"/>
        <w:rPr>
          <w:rFonts w:ascii="仿宋" w:hAnsi="仿宋" w:cs="仿宋"/>
        </w:rPr>
      </w:pPr>
      <w:r>
        <w:rPr>
          <w:rFonts w:hint="eastAsia" w:ascii="仿宋" w:hAnsi="仿宋" w:cs="仿宋"/>
        </w:rPr>
        <w:t>因此，基差走强对买进套期保值者不利，反之，基差走弱对买进套期保值者有利。</w:t>
      </w:r>
    </w:p>
    <w:p>
      <w:pPr>
        <w:spacing w:line="360" w:lineRule="auto"/>
        <w:ind w:firstLine="480" w:firstLineChars="200"/>
        <w:rPr>
          <w:rFonts w:ascii="仿宋" w:hAnsi="仿宋" w:cs="仿宋"/>
        </w:rPr>
      </w:pPr>
      <w:r>
        <w:rPr>
          <w:rFonts w:hint="eastAsia" w:ascii="仿宋" w:hAnsi="仿宋" w:cs="仿宋"/>
        </w:rPr>
        <w:t>下面以卖出套期保值为例分析基差变动对套期保值效果的影响。</w:t>
      </w:r>
    </w:p>
    <w:p>
      <w:pPr>
        <w:spacing w:line="360" w:lineRule="auto"/>
        <w:ind w:firstLine="480" w:firstLineChars="200"/>
        <w:rPr>
          <w:rFonts w:ascii="仿宋" w:hAnsi="仿宋" w:cs="仿宋"/>
        </w:rPr>
      </w:pPr>
      <w:r>
        <w:rPr>
          <w:rFonts w:hint="eastAsia" w:ascii="仿宋" w:hAnsi="仿宋" w:cs="仿宋"/>
        </w:rPr>
        <w:t>【例】</w:t>
      </w:r>
      <w:r>
        <w:rPr>
          <w:rFonts w:ascii="仿宋" w:hAnsi="仿宋" w:cs="仿宋"/>
        </w:rPr>
        <w:t xml:space="preserve">5月初某糖厂与饮料厂签订销售合同，约定将在 8月初销售 100 </w:t>
      </w:r>
      <w:r>
        <w:rPr>
          <w:rFonts w:hint="eastAsia" w:ascii="仿宋" w:hAnsi="仿宋" w:cs="仿宋"/>
        </w:rPr>
        <w:t>吨白糖，价格按交易时的市价计算。目前白糖现货价格为</w:t>
      </w:r>
      <w:r>
        <w:rPr>
          <w:rFonts w:ascii="仿宋" w:hAnsi="仿宋" w:cs="仿宋"/>
        </w:rPr>
        <w:t>5500元/吨。该</w:t>
      </w:r>
      <w:r>
        <w:rPr>
          <w:rFonts w:hint="eastAsia" w:ascii="仿宋" w:hAnsi="仿宋" w:cs="仿宋"/>
        </w:rPr>
        <w:t>糖厂担心未来糖价会下跌，于是卖出</w:t>
      </w:r>
      <w:r>
        <w:rPr>
          <w:rFonts w:ascii="仿宋" w:hAnsi="仿宋" w:cs="仿宋"/>
        </w:rPr>
        <w:t xml:space="preserve"> 10手（每手10吨）的9月份白糖期货合约，成交价格为5800元/吨。至8月初交易时，现货价跌至每吨5000 </w:t>
      </w:r>
      <w:r>
        <w:rPr>
          <w:rFonts w:hint="eastAsia" w:ascii="仿宋" w:hAnsi="仿宋" w:cs="仿宋"/>
        </w:rPr>
        <w:t>元</w:t>
      </w:r>
      <w:r>
        <w:rPr>
          <w:rFonts w:ascii="仿宋" w:hAnsi="仿宋" w:cs="仿宋"/>
        </w:rPr>
        <w:t>/吨，与此同时期货价格跌至5200元/吨。该糖厂按照现货价格出售100吨白糖，同时按照期货价格将9月份白糖期货合约对冲平仓。</w:t>
      </w:r>
    </w:p>
    <w:p>
      <w:pPr>
        <w:pStyle w:val="18"/>
        <w:tabs>
          <w:tab w:val="left" w:pos="0"/>
        </w:tabs>
        <w:snapToGrid w:val="0"/>
        <w:spacing w:line="360" w:lineRule="auto"/>
        <w:ind w:firstLine="480"/>
        <w:jc w:val="center"/>
        <w:rPr>
          <w:rFonts w:ascii="仿宋" w:hAnsi="仿宋" w:cs="仿宋"/>
          <w:color w:val="auto"/>
          <w:szCs w:val="24"/>
        </w:rPr>
      </w:pPr>
      <w:r>
        <w:rPr>
          <w:rFonts w:ascii="仿宋" w:hAnsi="仿宋" w:cs="仿宋"/>
          <w:color w:val="auto"/>
          <w:szCs w:val="24"/>
        </w:rPr>
        <w:t xml:space="preserve"> 卖出套期保值案例（</w:t>
      </w:r>
      <w:r>
        <w:rPr>
          <w:rFonts w:hint="eastAsia" w:ascii="仿宋" w:hAnsi="仿宋" w:cs="仿宋"/>
          <w:color w:val="auto"/>
          <w:szCs w:val="24"/>
        </w:rPr>
        <w:t>基差走强情形）</w:t>
      </w:r>
    </w:p>
    <w:tbl>
      <w:tblPr>
        <w:tblStyle w:val="24"/>
        <w:tblW w:w="84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1811"/>
        <w:gridCol w:w="3318"/>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7" w:type="dxa"/>
            <w:tcBorders>
              <w:tl2br w:val="single" w:color="auto" w:sz="4" w:space="0"/>
            </w:tcBorders>
          </w:tcPr>
          <w:p>
            <w:pPr>
              <w:pStyle w:val="18"/>
              <w:tabs>
                <w:tab w:val="left" w:pos="0"/>
              </w:tabs>
              <w:snapToGrid w:val="0"/>
              <w:spacing w:line="360" w:lineRule="auto"/>
              <w:ind w:firstLine="480"/>
              <w:rPr>
                <w:rFonts w:ascii="仿宋" w:hAnsi="仿宋" w:cs="仿宋"/>
                <w:color w:val="auto"/>
                <w:szCs w:val="24"/>
              </w:rPr>
            </w:pPr>
            <w:r>
              <w:rPr>
                <w:rFonts w:ascii="仿宋" w:hAnsi="仿宋" w:cs="仿宋"/>
                <w:color w:val="auto"/>
                <w:szCs w:val="24"/>
              </w:rPr>
              <w:t xml:space="preserve"> 市场   </w:t>
            </w:r>
          </w:p>
          <w:p>
            <w:pPr>
              <w:pStyle w:val="18"/>
              <w:tabs>
                <w:tab w:val="left" w:pos="0"/>
              </w:tabs>
              <w:snapToGrid w:val="0"/>
              <w:spacing w:line="360" w:lineRule="auto"/>
              <w:ind w:firstLine="0" w:firstLineChars="0"/>
              <w:rPr>
                <w:rFonts w:ascii="仿宋" w:hAnsi="仿宋" w:cs="仿宋"/>
                <w:color w:val="auto"/>
                <w:szCs w:val="24"/>
              </w:rPr>
            </w:pPr>
            <w:r>
              <w:rPr>
                <w:rFonts w:hint="eastAsia" w:ascii="仿宋" w:hAnsi="仿宋" w:cs="仿宋"/>
                <w:color w:val="auto"/>
                <w:szCs w:val="24"/>
              </w:rPr>
              <w:t>时间</w:t>
            </w:r>
          </w:p>
        </w:tc>
        <w:tc>
          <w:tcPr>
            <w:tcW w:w="1811" w:type="dxa"/>
            <w:vAlign w:val="center"/>
          </w:tcPr>
          <w:p>
            <w:pPr>
              <w:pStyle w:val="18"/>
              <w:tabs>
                <w:tab w:val="left" w:pos="0"/>
              </w:tabs>
              <w:snapToGrid w:val="0"/>
              <w:spacing w:line="360" w:lineRule="auto"/>
              <w:ind w:firstLine="480"/>
              <w:jc w:val="center"/>
              <w:rPr>
                <w:rFonts w:ascii="仿宋" w:hAnsi="仿宋" w:cs="仿宋"/>
                <w:color w:val="auto"/>
                <w:szCs w:val="24"/>
              </w:rPr>
            </w:pPr>
            <w:r>
              <w:rPr>
                <w:rFonts w:hint="eastAsia" w:ascii="仿宋" w:hAnsi="仿宋" w:cs="仿宋"/>
                <w:color w:val="auto"/>
                <w:szCs w:val="24"/>
              </w:rPr>
              <w:t>现货市场</w:t>
            </w:r>
          </w:p>
        </w:tc>
        <w:tc>
          <w:tcPr>
            <w:tcW w:w="3318" w:type="dxa"/>
            <w:vAlign w:val="center"/>
          </w:tcPr>
          <w:p>
            <w:pPr>
              <w:pStyle w:val="18"/>
              <w:tabs>
                <w:tab w:val="left" w:pos="0"/>
              </w:tabs>
              <w:snapToGrid w:val="0"/>
              <w:spacing w:line="360" w:lineRule="auto"/>
              <w:ind w:firstLine="480"/>
              <w:jc w:val="center"/>
              <w:rPr>
                <w:rFonts w:ascii="仿宋" w:hAnsi="仿宋" w:cs="仿宋"/>
                <w:color w:val="auto"/>
                <w:szCs w:val="24"/>
              </w:rPr>
            </w:pPr>
            <w:r>
              <w:rPr>
                <w:rFonts w:hint="eastAsia" w:ascii="仿宋" w:hAnsi="仿宋" w:cs="仿宋"/>
                <w:color w:val="auto"/>
                <w:szCs w:val="24"/>
              </w:rPr>
              <w:t>期货市场</w:t>
            </w:r>
          </w:p>
        </w:tc>
        <w:tc>
          <w:tcPr>
            <w:tcW w:w="1952" w:type="dxa"/>
            <w:vAlign w:val="center"/>
          </w:tcPr>
          <w:p>
            <w:pPr>
              <w:pStyle w:val="18"/>
              <w:tabs>
                <w:tab w:val="left" w:pos="0"/>
              </w:tabs>
              <w:snapToGrid w:val="0"/>
              <w:spacing w:line="360" w:lineRule="auto"/>
              <w:ind w:firstLine="480"/>
              <w:jc w:val="center"/>
              <w:rPr>
                <w:rFonts w:ascii="仿宋" w:hAnsi="仿宋" w:cs="仿宋"/>
                <w:color w:val="auto"/>
                <w:szCs w:val="24"/>
              </w:rPr>
            </w:pPr>
            <w:r>
              <w:rPr>
                <w:rFonts w:hint="eastAsia" w:ascii="仿宋" w:hAnsi="仿宋" w:cs="仿宋"/>
                <w:color w:val="auto"/>
                <w:szCs w:val="24"/>
              </w:rPr>
              <w:t>基差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7" w:type="dxa"/>
            <w:vAlign w:val="center"/>
          </w:tcPr>
          <w:p>
            <w:pPr>
              <w:pStyle w:val="18"/>
              <w:tabs>
                <w:tab w:val="left" w:pos="0"/>
              </w:tabs>
              <w:snapToGrid w:val="0"/>
              <w:spacing w:line="360" w:lineRule="auto"/>
              <w:ind w:firstLine="480"/>
              <w:jc w:val="center"/>
              <w:rPr>
                <w:rFonts w:ascii="仿宋" w:hAnsi="仿宋" w:cs="仿宋"/>
                <w:color w:val="auto"/>
                <w:szCs w:val="24"/>
              </w:rPr>
            </w:pPr>
            <w:r>
              <w:rPr>
                <w:rFonts w:ascii="仿宋" w:hAnsi="仿宋" w:cs="仿宋"/>
                <w:color w:val="auto"/>
                <w:szCs w:val="24"/>
              </w:rPr>
              <w:t>5月初</w:t>
            </w:r>
          </w:p>
        </w:tc>
        <w:tc>
          <w:tcPr>
            <w:tcW w:w="1811" w:type="dxa"/>
            <w:vAlign w:val="center"/>
          </w:tcPr>
          <w:p>
            <w:pPr>
              <w:pStyle w:val="18"/>
              <w:tabs>
                <w:tab w:val="left" w:pos="0"/>
              </w:tabs>
              <w:snapToGrid w:val="0"/>
              <w:spacing w:line="360" w:lineRule="auto"/>
              <w:ind w:firstLine="0" w:firstLineChars="0"/>
              <w:jc w:val="center"/>
              <w:rPr>
                <w:rFonts w:ascii="仿宋" w:hAnsi="仿宋" w:cs="仿宋"/>
                <w:color w:val="auto"/>
                <w:szCs w:val="24"/>
              </w:rPr>
            </w:pPr>
            <w:r>
              <w:rPr>
                <w:rFonts w:hint="eastAsia" w:ascii="仿宋" w:hAnsi="仿宋" w:cs="仿宋"/>
                <w:color w:val="auto"/>
                <w:szCs w:val="24"/>
              </w:rPr>
              <w:t>市场价格</w:t>
            </w:r>
          </w:p>
          <w:p>
            <w:pPr>
              <w:pStyle w:val="18"/>
              <w:tabs>
                <w:tab w:val="left" w:pos="0"/>
              </w:tabs>
              <w:snapToGrid w:val="0"/>
              <w:spacing w:line="360" w:lineRule="auto"/>
              <w:ind w:firstLine="0" w:firstLineChars="0"/>
              <w:jc w:val="center"/>
              <w:rPr>
                <w:rFonts w:ascii="仿宋" w:hAnsi="仿宋" w:cs="仿宋"/>
                <w:color w:val="auto"/>
                <w:szCs w:val="24"/>
              </w:rPr>
            </w:pPr>
            <w:r>
              <w:rPr>
                <w:rFonts w:ascii="仿宋" w:hAnsi="仿宋" w:cs="仿宋"/>
                <w:color w:val="auto"/>
                <w:szCs w:val="24"/>
              </w:rPr>
              <w:t>5500元／吨</w:t>
            </w:r>
          </w:p>
        </w:tc>
        <w:tc>
          <w:tcPr>
            <w:tcW w:w="3318" w:type="dxa"/>
            <w:vAlign w:val="center"/>
          </w:tcPr>
          <w:p>
            <w:pPr>
              <w:pStyle w:val="18"/>
              <w:tabs>
                <w:tab w:val="left" w:pos="0"/>
              </w:tabs>
              <w:snapToGrid w:val="0"/>
              <w:spacing w:line="360" w:lineRule="auto"/>
              <w:ind w:firstLine="0" w:firstLineChars="0"/>
              <w:jc w:val="center"/>
              <w:rPr>
                <w:rFonts w:ascii="仿宋" w:hAnsi="仿宋" w:cs="仿宋"/>
                <w:color w:val="auto"/>
                <w:szCs w:val="24"/>
              </w:rPr>
            </w:pPr>
            <w:r>
              <w:rPr>
                <w:rFonts w:hint="eastAsia" w:ascii="仿宋" w:hAnsi="仿宋" w:cs="仿宋"/>
                <w:color w:val="auto"/>
                <w:szCs w:val="24"/>
              </w:rPr>
              <w:t>卖出</w:t>
            </w:r>
            <w:r>
              <w:rPr>
                <w:rFonts w:ascii="仿宋" w:hAnsi="仿宋" w:cs="仿宋"/>
                <w:color w:val="auto"/>
                <w:szCs w:val="24"/>
              </w:rPr>
              <w:t>9月份白糖期货合约，5800元／吨</w:t>
            </w:r>
          </w:p>
        </w:tc>
        <w:tc>
          <w:tcPr>
            <w:tcW w:w="1952" w:type="dxa"/>
            <w:vAlign w:val="center"/>
          </w:tcPr>
          <w:p>
            <w:pPr>
              <w:pStyle w:val="18"/>
              <w:tabs>
                <w:tab w:val="left" w:pos="0"/>
              </w:tabs>
              <w:snapToGrid w:val="0"/>
              <w:spacing w:line="360" w:lineRule="auto"/>
              <w:ind w:firstLine="480"/>
              <w:rPr>
                <w:rFonts w:ascii="仿宋" w:hAnsi="仿宋" w:cs="仿宋"/>
                <w:color w:val="auto"/>
                <w:szCs w:val="24"/>
              </w:rPr>
            </w:pPr>
            <w:r>
              <w:rPr>
                <w:rFonts w:ascii="仿宋" w:hAnsi="仿宋" w:cs="仿宋"/>
                <w:color w:val="auto"/>
                <w:szCs w:val="24"/>
              </w:rPr>
              <w:t>-300元/吨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7" w:type="dxa"/>
            <w:vAlign w:val="center"/>
          </w:tcPr>
          <w:p>
            <w:pPr>
              <w:pStyle w:val="18"/>
              <w:tabs>
                <w:tab w:val="left" w:pos="0"/>
              </w:tabs>
              <w:snapToGrid w:val="0"/>
              <w:spacing w:line="360" w:lineRule="auto"/>
              <w:ind w:firstLine="480"/>
              <w:jc w:val="center"/>
              <w:rPr>
                <w:rFonts w:ascii="仿宋" w:hAnsi="仿宋" w:cs="仿宋"/>
                <w:color w:val="auto"/>
                <w:szCs w:val="24"/>
              </w:rPr>
            </w:pPr>
            <w:r>
              <w:rPr>
                <w:rFonts w:ascii="仿宋" w:hAnsi="仿宋" w:cs="仿宋"/>
                <w:color w:val="auto"/>
                <w:szCs w:val="24"/>
              </w:rPr>
              <w:t>8月初</w:t>
            </w:r>
          </w:p>
        </w:tc>
        <w:tc>
          <w:tcPr>
            <w:tcW w:w="1811" w:type="dxa"/>
            <w:vAlign w:val="center"/>
          </w:tcPr>
          <w:p>
            <w:pPr>
              <w:pStyle w:val="18"/>
              <w:tabs>
                <w:tab w:val="left" w:pos="0"/>
              </w:tabs>
              <w:snapToGrid w:val="0"/>
              <w:spacing w:line="360" w:lineRule="auto"/>
              <w:ind w:firstLine="480"/>
              <w:jc w:val="center"/>
              <w:rPr>
                <w:rFonts w:ascii="仿宋" w:hAnsi="仿宋" w:cs="仿宋"/>
                <w:color w:val="auto"/>
                <w:szCs w:val="24"/>
              </w:rPr>
            </w:pPr>
            <w:r>
              <w:rPr>
                <w:rFonts w:hint="eastAsia" w:ascii="仿宋" w:hAnsi="仿宋" w:cs="仿宋"/>
                <w:color w:val="auto"/>
                <w:szCs w:val="24"/>
              </w:rPr>
              <w:t>卖出价格</w:t>
            </w:r>
            <w:r>
              <w:rPr>
                <w:rFonts w:ascii="仿宋" w:hAnsi="仿宋" w:cs="仿宋"/>
                <w:color w:val="auto"/>
                <w:szCs w:val="24"/>
              </w:rPr>
              <w:t>5000元／吨</w:t>
            </w:r>
          </w:p>
        </w:tc>
        <w:tc>
          <w:tcPr>
            <w:tcW w:w="3318" w:type="dxa"/>
            <w:vAlign w:val="center"/>
          </w:tcPr>
          <w:p>
            <w:pPr>
              <w:pStyle w:val="18"/>
              <w:tabs>
                <w:tab w:val="left" w:pos="0"/>
              </w:tabs>
              <w:snapToGrid w:val="0"/>
              <w:spacing w:line="360" w:lineRule="auto"/>
              <w:ind w:firstLine="480"/>
              <w:jc w:val="center"/>
              <w:rPr>
                <w:rFonts w:ascii="仿宋" w:hAnsi="仿宋" w:cs="仿宋"/>
                <w:color w:val="auto"/>
                <w:szCs w:val="24"/>
              </w:rPr>
            </w:pPr>
            <w:r>
              <w:rPr>
                <w:rFonts w:hint="eastAsia" w:ascii="仿宋" w:hAnsi="仿宋" w:cs="仿宋"/>
                <w:color w:val="auto"/>
                <w:szCs w:val="24"/>
              </w:rPr>
              <w:t>买入平仓白糖期货合约，</w:t>
            </w:r>
            <w:r>
              <w:rPr>
                <w:rFonts w:ascii="仿宋" w:hAnsi="仿宋" w:cs="仿宋"/>
                <w:color w:val="auto"/>
                <w:szCs w:val="24"/>
              </w:rPr>
              <w:t>5200元／吨</w:t>
            </w:r>
          </w:p>
        </w:tc>
        <w:tc>
          <w:tcPr>
            <w:tcW w:w="1952" w:type="dxa"/>
            <w:vAlign w:val="center"/>
          </w:tcPr>
          <w:p>
            <w:pPr>
              <w:pStyle w:val="18"/>
              <w:tabs>
                <w:tab w:val="left" w:pos="0"/>
              </w:tabs>
              <w:snapToGrid w:val="0"/>
              <w:spacing w:line="360" w:lineRule="auto"/>
              <w:ind w:firstLine="480"/>
              <w:jc w:val="center"/>
              <w:rPr>
                <w:rFonts w:ascii="仿宋" w:hAnsi="仿宋" w:cs="仿宋"/>
                <w:color w:val="auto"/>
                <w:szCs w:val="24"/>
              </w:rPr>
            </w:pPr>
            <w:r>
              <w:rPr>
                <w:rFonts w:ascii="仿宋" w:hAnsi="仿宋" w:cs="仿宋"/>
                <w:color w:val="auto"/>
                <w:szCs w:val="24"/>
              </w:rPr>
              <w:t>-200元/吨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37" w:type="dxa"/>
            <w:vAlign w:val="center"/>
          </w:tcPr>
          <w:p>
            <w:pPr>
              <w:pStyle w:val="18"/>
              <w:tabs>
                <w:tab w:val="left" w:pos="0"/>
              </w:tabs>
              <w:snapToGrid w:val="0"/>
              <w:spacing w:line="360" w:lineRule="auto"/>
              <w:ind w:firstLine="480"/>
              <w:jc w:val="center"/>
              <w:rPr>
                <w:rFonts w:ascii="仿宋" w:hAnsi="仿宋" w:cs="仿宋"/>
                <w:color w:val="auto"/>
                <w:szCs w:val="24"/>
              </w:rPr>
            </w:pPr>
            <w:r>
              <w:rPr>
                <w:rFonts w:hint="eastAsia" w:ascii="仿宋" w:hAnsi="仿宋" w:cs="仿宋"/>
                <w:color w:val="auto"/>
                <w:szCs w:val="24"/>
              </w:rPr>
              <w:t>盈亏</w:t>
            </w:r>
          </w:p>
        </w:tc>
        <w:tc>
          <w:tcPr>
            <w:tcW w:w="1811" w:type="dxa"/>
            <w:vAlign w:val="center"/>
          </w:tcPr>
          <w:p>
            <w:pPr>
              <w:pStyle w:val="18"/>
              <w:tabs>
                <w:tab w:val="left" w:pos="0"/>
              </w:tabs>
              <w:snapToGrid w:val="0"/>
              <w:spacing w:line="360" w:lineRule="auto"/>
              <w:ind w:firstLine="480"/>
              <w:jc w:val="center"/>
              <w:rPr>
                <w:rFonts w:ascii="仿宋" w:hAnsi="仿宋" w:cs="仿宋"/>
                <w:color w:val="auto"/>
                <w:szCs w:val="24"/>
              </w:rPr>
            </w:pPr>
            <w:r>
              <w:rPr>
                <w:rFonts w:hint="eastAsia" w:ascii="仿宋" w:hAnsi="仿宋" w:cs="仿宋"/>
                <w:color w:val="auto"/>
                <w:szCs w:val="24"/>
              </w:rPr>
              <w:t>相当于亏损</w:t>
            </w:r>
            <w:r>
              <w:rPr>
                <w:rFonts w:ascii="仿宋" w:hAnsi="仿宋" w:cs="仿宋"/>
                <w:color w:val="auto"/>
                <w:szCs w:val="24"/>
              </w:rPr>
              <w:t>500元/吨</w:t>
            </w:r>
          </w:p>
        </w:tc>
        <w:tc>
          <w:tcPr>
            <w:tcW w:w="3318" w:type="dxa"/>
            <w:vAlign w:val="center"/>
          </w:tcPr>
          <w:p>
            <w:pPr>
              <w:pStyle w:val="18"/>
              <w:tabs>
                <w:tab w:val="left" w:pos="0"/>
              </w:tabs>
              <w:snapToGrid w:val="0"/>
              <w:spacing w:line="360" w:lineRule="auto"/>
              <w:ind w:firstLine="480"/>
              <w:jc w:val="center"/>
              <w:rPr>
                <w:rFonts w:ascii="仿宋" w:hAnsi="仿宋" w:cs="仿宋"/>
                <w:color w:val="auto"/>
                <w:szCs w:val="24"/>
              </w:rPr>
            </w:pPr>
            <w:r>
              <w:rPr>
                <w:rFonts w:hint="eastAsia" w:ascii="仿宋" w:hAnsi="仿宋" w:cs="仿宋"/>
                <w:color w:val="auto"/>
                <w:szCs w:val="24"/>
              </w:rPr>
              <w:t>盈利</w:t>
            </w:r>
            <w:r>
              <w:rPr>
                <w:rFonts w:ascii="仿宋" w:hAnsi="仿宋" w:cs="仿宋"/>
                <w:color w:val="auto"/>
                <w:szCs w:val="24"/>
              </w:rPr>
              <w:t>600元/吨</w:t>
            </w:r>
          </w:p>
        </w:tc>
        <w:tc>
          <w:tcPr>
            <w:tcW w:w="1952" w:type="dxa"/>
            <w:vAlign w:val="center"/>
          </w:tcPr>
          <w:p>
            <w:pPr>
              <w:pStyle w:val="18"/>
              <w:tabs>
                <w:tab w:val="left" w:pos="0"/>
              </w:tabs>
              <w:snapToGrid w:val="0"/>
              <w:spacing w:line="360" w:lineRule="auto"/>
              <w:ind w:firstLine="480"/>
              <w:jc w:val="center"/>
              <w:rPr>
                <w:rFonts w:ascii="仿宋" w:hAnsi="仿宋" w:cs="仿宋"/>
                <w:color w:val="auto"/>
                <w:szCs w:val="24"/>
              </w:rPr>
            </w:pPr>
            <w:r>
              <w:rPr>
                <w:rFonts w:hint="eastAsia" w:ascii="仿宋" w:hAnsi="仿宋" w:cs="仿宋"/>
                <w:color w:val="auto"/>
                <w:szCs w:val="24"/>
              </w:rPr>
              <w:t>走强</w:t>
            </w:r>
            <w:r>
              <w:rPr>
                <w:rFonts w:ascii="仿宋" w:hAnsi="仿宋" w:cs="仿宋"/>
                <w:color w:val="auto"/>
                <w:szCs w:val="24"/>
              </w:rPr>
              <w:t>100元/吨</w:t>
            </w:r>
          </w:p>
        </w:tc>
      </w:tr>
    </w:tbl>
    <w:p>
      <w:pPr>
        <w:spacing w:line="360" w:lineRule="auto"/>
        <w:ind w:firstLine="480" w:firstLineChars="200"/>
        <w:rPr>
          <w:rFonts w:ascii="仿宋" w:hAnsi="仿宋" w:cs="仿宋"/>
        </w:rPr>
      </w:pPr>
    </w:p>
    <w:p>
      <w:pPr>
        <w:spacing w:line="360" w:lineRule="auto"/>
        <w:ind w:firstLine="480" w:firstLineChars="200"/>
        <w:rPr>
          <w:rFonts w:ascii="仿宋" w:hAnsi="仿宋" w:cs="仿宋"/>
        </w:rPr>
      </w:pPr>
      <w:r>
        <w:rPr>
          <w:rFonts w:hint="eastAsia" w:ascii="仿宋" w:hAnsi="仿宋" w:cs="仿宋"/>
        </w:rPr>
        <w:t>在该案例中，由于现货价格下跌幅度小于期货价格下跌幅度，基差走强</w:t>
      </w:r>
      <w:r>
        <w:rPr>
          <w:rFonts w:ascii="仿宋" w:hAnsi="仿宋" w:cs="仿宋"/>
        </w:rPr>
        <w:t>100元/吨。期货市场盈利600元/吨，现货市场亏损500元/吨，两者相抵后存在净盈利100元/吨。通过套期保值，该糖厂白糖的实际售价相当于是：现货市场实际销售价格+期货市场每吨盈利=5000+600=5600元。该价格要比5月初的5500元/吨的现货价格还要高100元/吨。而这100元/吨，正是</w:t>
      </w:r>
      <w:r>
        <w:rPr>
          <w:rFonts w:hint="eastAsia" w:ascii="仿宋" w:hAnsi="仿宋" w:cs="仿宋"/>
        </w:rPr>
        <w:t>基差走强的变化值。这表明，进行卖出套期保值，如果基差走强，两个市场盈亏相抵后存在净盈利</w:t>
      </w:r>
      <w:r>
        <w:rPr>
          <w:rFonts w:ascii="仿宋" w:hAnsi="仿宋" w:cs="仿宋"/>
        </w:rPr>
        <w:t>100元/吨，它</w:t>
      </w:r>
      <w:r>
        <w:rPr>
          <w:rFonts w:hint="eastAsia" w:ascii="仿宋" w:hAnsi="仿宋" w:cs="仿宋"/>
        </w:rPr>
        <w:t>可以使套期保值者获得一个更为理想的价格。</w:t>
      </w:r>
    </w:p>
    <w:p>
      <w:pPr>
        <w:spacing w:line="360" w:lineRule="auto"/>
        <w:ind w:firstLine="480" w:firstLineChars="200"/>
        <w:rPr>
          <w:rFonts w:ascii="仿宋" w:hAnsi="仿宋" w:cs="仿宋"/>
        </w:rPr>
      </w:pPr>
    </w:p>
    <w:p>
      <w:pPr>
        <w:rPr>
          <w:rFonts w:ascii="仿宋" w:hAnsi="仿宋"/>
          <w:kern w:val="0"/>
        </w:rPr>
      </w:pPr>
      <w:r>
        <w:rPr>
          <w:rFonts w:ascii="仿宋" w:hAnsi="仿宋" w:cs="仿宋"/>
          <w:kern w:val="0"/>
        </w:rPr>
        <w:t xml:space="preserve">        </w:t>
      </w:r>
    </w:p>
    <w:p>
      <w:pPr>
        <w:pStyle w:val="4"/>
        <w:spacing w:before="0" w:after="0" w:line="360" w:lineRule="auto"/>
        <w:rPr>
          <w:rFonts w:ascii="仿宋" w:hAnsi="仿宋"/>
          <w:szCs w:val="24"/>
        </w:rPr>
      </w:pPr>
      <w:bookmarkStart w:id="39" w:name="_Toc3896684"/>
      <w:bookmarkStart w:id="40" w:name="_Toc445043867"/>
      <w:r>
        <w:rPr>
          <w:rFonts w:hint="eastAsia" w:ascii="仿宋" w:hAnsi="仿宋"/>
          <w:szCs w:val="24"/>
        </w:rPr>
        <w:t>（三）商品期货点价交易与基差交易</w:t>
      </w:r>
      <w:bookmarkEnd w:id="39"/>
      <w:bookmarkEnd w:id="40"/>
      <w:r>
        <w:rPr>
          <w:rFonts w:ascii="仿宋" w:hAnsi="仿宋"/>
          <w:szCs w:val="24"/>
        </w:rPr>
        <w:t xml:space="preserve"> </w:t>
      </w:r>
    </w:p>
    <w:p>
      <w:pPr>
        <w:spacing w:line="360" w:lineRule="auto"/>
        <w:ind w:firstLine="480" w:firstLineChars="200"/>
        <w:rPr>
          <w:rFonts w:ascii="仿宋" w:hAnsi="仿宋" w:cs="仿宋"/>
        </w:rPr>
      </w:pPr>
      <w:r>
        <w:rPr>
          <w:rFonts w:hint="eastAsia" w:ascii="仿宋" w:hAnsi="仿宋" w:cs="仿宋"/>
        </w:rPr>
        <w:t>点价交易（</w:t>
      </w:r>
      <w:r>
        <w:rPr>
          <w:rFonts w:ascii="仿宋" w:hAnsi="仿宋" w:cs="仿宋"/>
        </w:rPr>
        <w:t>Pricing），是指以某月份的期货价格为计价基础，以期货价格加</w:t>
      </w:r>
      <w:r>
        <w:rPr>
          <w:rFonts w:hint="eastAsia" w:ascii="仿宋" w:hAnsi="仿宋" w:cs="仿宋"/>
        </w:rPr>
        <w:t>上或减去双方协商同意的升贴水来确定双方买卖现货商品的价格的交易方式。点价交易从本质上看是一种为现货贸易定价的方式，交易双方并不需要参与期货交易。</w:t>
      </w:r>
    </w:p>
    <w:p>
      <w:pPr>
        <w:spacing w:line="360" w:lineRule="auto"/>
        <w:ind w:firstLine="480" w:firstLineChars="200"/>
        <w:rPr>
          <w:rFonts w:ascii="仿宋" w:hAnsi="仿宋" w:cs="仿宋"/>
        </w:rPr>
      </w:pPr>
      <w:r>
        <w:rPr>
          <w:rFonts w:hint="eastAsia" w:ascii="仿宋" w:hAnsi="仿宋" w:cs="仿宋"/>
        </w:rPr>
        <w:t>目前，在一些大宗商品贸易中，例如大豆、铜、石油等贸易，点价交易已经得到了普遍应用。例如在大豆的国际贸易中，通常以芝加哥期货交易所（</w:t>
      </w:r>
      <w:r>
        <w:rPr>
          <w:rFonts w:ascii="仿宋" w:hAnsi="仿宋" w:cs="仿宋"/>
        </w:rPr>
        <w:t>CBOT）的大豆期货价格作为点价的基础；在铜精矿和阴极铜的贸易中通常利用伦敦金属交易所（LME）或纽约商品交易所（COMEX）的铜期货价格作为点价的基础。</w:t>
      </w:r>
    </w:p>
    <w:p>
      <w:pPr>
        <w:spacing w:line="360" w:lineRule="auto"/>
        <w:ind w:firstLine="480" w:firstLineChars="200"/>
        <w:rPr>
          <w:rFonts w:ascii="仿宋" w:hAnsi="仿宋" w:cs="仿宋"/>
          <w:kern w:val="0"/>
        </w:rPr>
      </w:pPr>
      <w:r>
        <w:rPr>
          <w:rFonts w:hint="eastAsia" w:ascii="仿宋" w:hAnsi="仿宋" w:cs="仿宋"/>
          <w:kern w:val="0"/>
        </w:rPr>
        <w:t>基差交易，是指企业按某一期货合约价格加减升贴水方式确立点价方式的同时，在期货市场进行套期保值操作，从而降低套期保值中的基差风险的操作。</w:t>
      </w:r>
    </w:p>
    <w:p>
      <w:pPr>
        <w:spacing w:line="360" w:lineRule="auto"/>
        <w:ind w:firstLine="480" w:firstLineChars="200"/>
        <w:rPr>
          <w:rFonts w:ascii="仿宋" w:hAnsi="仿宋" w:cs="仿宋"/>
        </w:rPr>
      </w:pPr>
      <w:r>
        <w:rPr>
          <w:rFonts w:hint="eastAsia" w:ascii="仿宋" w:hAnsi="仿宋" w:cs="仿宋"/>
        </w:rPr>
        <w:t>升贴水的高低，与点价所选取的期货合约月份的远近、期货交割地与现货交割地之间的运费、期货交割商品品质与现货交割商品品质的差异有关。在国际大宗商品贸易中，由于点价交易被普遍应用，升贴水的确定也是市场化的，有许多经纪商提供升贴水报价，交易商可以很容易确定升贴水的水平。</w:t>
      </w:r>
    </w:p>
    <w:p>
      <w:pPr>
        <w:autoSpaceDE w:val="0"/>
        <w:autoSpaceDN w:val="0"/>
        <w:spacing w:line="360" w:lineRule="auto"/>
        <w:ind w:firstLine="480" w:firstLineChars="200"/>
        <w:jc w:val="left"/>
        <w:rPr>
          <w:rFonts w:ascii="仿宋" w:hAnsi="仿宋" w:cs="仿宋"/>
          <w:kern w:val="0"/>
        </w:rPr>
      </w:pPr>
      <w:r>
        <w:rPr>
          <w:rFonts w:hint="eastAsia" w:ascii="仿宋" w:hAnsi="仿宋" w:cs="仿宋"/>
          <w:kern w:val="0"/>
        </w:rPr>
        <w:t>由于在实施点价之前，双方所约定的期货基准价格是不断变化的，所以交易者仍然面临价格变动风险。为了有效规避这一风险，交易者可以将点价交易与套期保值操作结合在一起进行操作，形成基差交易。</w:t>
      </w:r>
    </w:p>
    <w:p>
      <w:pPr>
        <w:spacing w:line="360" w:lineRule="auto"/>
        <w:ind w:firstLine="480" w:firstLineChars="200"/>
        <w:rPr>
          <w:rFonts w:ascii="仿宋" w:hAnsi="仿宋" w:cs="仿宋"/>
          <w:bCs/>
        </w:rPr>
      </w:pPr>
      <w:r>
        <w:rPr>
          <w:rFonts w:hint="eastAsia" w:ascii="仿宋" w:hAnsi="仿宋" w:cs="仿宋"/>
        </w:rPr>
        <w:t>【例】</w:t>
      </w:r>
      <w:r>
        <w:rPr>
          <w:rFonts w:ascii="仿宋" w:hAnsi="仿宋" w:cs="仿宋"/>
        </w:rPr>
        <w:t>10月20日，中国某榨油厂与美国某贸易商签订进口合同，约定进口大豆的到岸价为“</w:t>
      </w:r>
      <w:r>
        <w:rPr>
          <w:rFonts w:ascii="仿宋" w:hAnsi="仿宋" w:cs="仿宋"/>
          <w:bCs/>
        </w:rPr>
        <w:t>CBOT的1月大豆期货合约+CNF100美分”，即在1月份CBOT大豆期货价格的基础上加上100美分/蒲式耳的升水，以此作为进口到岸价格。同时，双方约定由该榨油厂在12月15日装船前根据CBOT期货盘面价格自行点价确定。合同确立后，大豆的进口到岸价格实际上并未确定下来，如果在榨油厂实施点价之前，1月份CBOT大豆期货价格上涨，该榨油厂就要接受此高价。为了规避这一风险，该榨油厂在签订进口合同同时，在CBOT上买入等数量的1月份大豆期货合约进行套期保值。</w:t>
      </w:r>
      <w:r>
        <w:rPr>
          <w:rFonts w:hint="eastAsia" w:ascii="仿宋" w:hAnsi="仿宋" w:cs="仿宋"/>
        </w:rPr>
        <w:t>买入建仓价格为</w:t>
      </w:r>
      <w:r>
        <w:rPr>
          <w:rFonts w:ascii="仿宋" w:hAnsi="仿宋" w:cs="仿宋"/>
        </w:rPr>
        <w:t>800美分/蒲式耳。同样地，该贸易商也承担</w:t>
      </w:r>
      <w:r>
        <w:rPr>
          <w:rFonts w:hint="eastAsia" w:ascii="仿宋" w:hAnsi="仿宋" w:cs="仿宋"/>
        </w:rPr>
        <w:t>着期间价格下跌的风险，为了规避这种风险，该贸易商可以在签订合同同时，在</w:t>
      </w:r>
      <w:r>
        <w:rPr>
          <w:rFonts w:ascii="仿宋" w:hAnsi="仿宋" w:cs="仿宋"/>
        </w:rPr>
        <w:t>CBOT上卖出等数量的1月份大豆期货合约进行套期保值。</w:t>
      </w:r>
    </w:p>
    <w:p>
      <w:pPr>
        <w:spacing w:line="360" w:lineRule="auto"/>
        <w:ind w:firstLine="480" w:firstLineChars="200"/>
        <w:rPr>
          <w:rFonts w:ascii="仿宋" w:hAnsi="仿宋" w:cs="仿宋"/>
          <w:bCs/>
        </w:rPr>
      </w:pPr>
      <w:r>
        <w:rPr>
          <w:rFonts w:hint="eastAsia" w:ascii="仿宋" w:hAnsi="仿宋" w:cs="仿宋"/>
          <w:bCs/>
        </w:rPr>
        <w:t>到了</w:t>
      </w:r>
      <w:r>
        <w:rPr>
          <w:rFonts w:ascii="仿宋" w:hAnsi="仿宋" w:cs="仿宋"/>
          <w:bCs/>
        </w:rPr>
        <w:t>12月15日，该贸易商完成大豆装船，并通知该榨油厂点价。该榨油厂在1月份CBOT大豆期货上分批完成点价，均价为1030美分/蒲式耳。该批大豆</w:t>
      </w:r>
      <w:r>
        <w:rPr>
          <w:rFonts w:hint="eastAsia" w:ascii="仿宋" w:hAnsi="仿宋" w:cs="仿宋"/>
          <w:bCs/>
        </w:rPr>
        <w:t>的进口到岸价也相应确定下来，为</w:t>
      </w:r>
      <w:r>
        <w:rPr>
          <w:rFonts w:ascii="仿宋" w:hAnsi="仿宋" w:cs="仿宋"/>
          <w:bCs/>
        </w:rPr>
        <w:t>1030＋100＝1130美分/蒲式耳。该榨油厂按该价格向贸易商结清货款。与此同时，该榨油厂将套期保值头寸卖出平仓，结束交易。</w:t>
      </w:r>
    </w:p>
    <w:p>
      <w:pPr>
        <w:spacing w:line="360" w:lineRule="auto"/>
        <w:ind w:firstLine="480" w:firstLineChars="200"/>
        <w:rPr>
          <w:rFonts w:ascii="仿宋" w:hAnsi="仿宋" w:cs="仿宋"/>
        </w:rPr>
      </w:pPr>
      <w:r>
        <w:rPr>
          <w:rFonts w:hint="eastAsia" w:ascii="仿宋" w:hAnsi="仿宋" w:cs="仿宋"/>
        </w:rPr>
        <w:t>如果该榨油厂能够按照所点的均价，即</w:t>
      </w:r>
      <w:r>
        <w:rPr>
          <w:rFonts w:ascii="仿宋" w:hAnsi="仿宋" w:cs="仿宋"/>
        </w:rPr>
        <w:t>1030美分/蒲式耳将期货头寸对冲平仓，</w:t>
      </w:r>
      <w:r>
        <w:rPr>
          <w:rFonts w:hint="eastAsia" w:ascii="仿宋" w:hAnsi="仿宋" w:cs="仿宋"/>
        </w:rPr>
        <w:t>则其套期保值结束时的基差就是固定的了，即</w:t>
      </w:r>
      <w:r>
        <w:rPr>
          <w:rFonts w:ascii="仿宋" w:hAnsi="仿宋" w:cs="仿宋"/>
        </w:rPr>
        <w:t>100美分/蒲式耳（即进口合同中的升水），这意味着，对于榨油厂来说，在套期保值开始时，就知道套期保值结束时</w:t>
      </w:r>
      <w:r>
        <w:rPr>
          <w:rFonts w:hint="eastAsia" w:ascii="仿宋" w:hAnsi="仿宋" w:cs="仿宋"/>
        </w:rPr>
        <w:t>的基差是多少了，这就避免了基差变化带来的风险，从而避免了套期保值效果的不确定性。这一点对于也参与套期保值的贸易商来说同样重要。为了保证双方都能够按照点价时的期货价格将期货头寸平仓，他们可以利用交易所的期转现制度来实现。</w:t>
      </w:r>
    </w:p>
    <w:p>
      <w:pPr>
        <w:spacing w:line="360" w:lineRule="auto"/>
        <w:ind w:firstLine="480" w:firstLineChars="200"/>
        <w:rPr>
          <w:rFonts w:ascii="仿宋" w:hAnsi="仿宋" w:cs="仿宋"/>
          <w:bCs/>
          <w:kern w:val="0"/>
        </w:rPr>
      </w:pPr>
    </w:p>
    <w:p>
      <w:pPr>
        <w:pStyle w:val="4"/>
        <w:spacing w:before="0" w:after="0" w:line="360" w:lineRule="auto"/>
        <w:rPr>
          <w:rFonts w:ascii="仿宋" w:hAnsi="仿宋"/>
          <w:szCs w:val="24"/>
        </w:rPr>
      </w:pPr>
      <w:bookmarkStart w:id="41" w:name="_Toc3896685"/>
      <w:bookmarkStart w:id="42" w:name="_Toc445043868"/>
      <w:r>
        <w:rPr>
          <w:rFonts w:hint="eastAsia" w:ascii="仿宋" w:hAnsi="仿宋"/>
          <w:szCs w:val="24"/>
        </w:rPr>
        <w:t>（四）商品期货转现货交易</w:t>
      </w:r>
      <w:bookmarkEnd w:id="41"/>
      <w:bookmarkEnd w:id="42"/>
    </w:p>
    <w:p>
      <w:pPr>
        <w:spacing w:line="360" w:lineRule="auto"/>
        <w:ind w:firstLine="480" w:firstLineChars="200"/>
        <w:rPr>
          <w:rFonts w:ascii="仿宋" w:hAnsi="仿宋" w:cs="仿宋"/>
        </w:rPr>
      </w:pPr>
      <w:r>
        <w:rPr>
          <w:rFonts w:hint="eastAsia" w:ascii="仿宋" w:hAnsi="仿宋" w:cs="仿宋"/>
        </w:rPr>
        <w:t>期货转现货交易（简称期转现交易）是指持有方向相反的同一品种同一月份合约的会员（客户）协商一致并向交易所提出申请，获得交易所批准后，分别将各自持有的合约按双方商定的期货价格（该价格一般应在交易所规定的价格波动范围内）由交易所代为平仓，同时，按双方协议价格与期货合约标的物数量相当、品种相同、方向相同的仓单进行交换的行为。</w:t>
      </w:r>
    </w:p>
    <w:p>
      <w:pPr>
        <w:spacing w:line="360" w:lineRule="auto"/>
        <w:ind w:firstLine="480" w:firstLineChars="200"/>
        <w:rPr>
          <w:rFonts w:ascii="仿宋" w:hAnsi="仿宋" w:cs="仿宋"/>
        </w:rPr>
      </w:pPr>
      <w:r>
        <w:rPr>
          <w:rFonts w:hint="eastAsia" w:ascii="仿宋" w:hAnsi="仿宋" w:cs="仿宋"/>
        </w:rPr>
        <w:t>期转现交易是国际期货市场中长期实行的交易方式，在商品期货、金融期货中都有着广泛应用。我国大连商品交易所、上海期货交易所和郑州商品交易所也已经推出了期转现交易。</w:t>
      </w:r>
    </w:p>
    <w:p>
      <w:pPr>
        <w:spacing w:line="360" w:lineRule="auto"/>
        <w:ind w:firstLine="480" w:firstLineChars="200"/>
        <w:rPr>
          <w:rFonts w:ascii="仿宋" w:hAnsi="仿宋" w:cs="仿宋"/>
        </w:rPr>
      </w:pPr>
      <w:r>
        <w:rPr>
          <w:rFonts w:hint="eastAsia" w:ascii="仿宋" w:hAnsi="仿宋" w:cs="仿宋"/>
        </w:rPr>
        <w:t>期转现交易的基本流程是</w:t>
      </w:r>
      <w:r>
        <w:rPr>
          <w:rFonts w:ascii="仿宋" w:hAnsi="仿宋" w:cs="仿宋"/>
        </w:rPr>
        <w:t>:</w:t>
      </w:r>
    </w:p>
    <w:p>
      <w:pPr>
        <w:spacing w:line="360" w:lineRule="auto"/>
        <w:ind w:firstLine="480" w:firstLineChars="200"/>
        <w:rPr>
          <w:rFonts w:ascii="仿宋" w:hAnsi="仿宋" w:cs="仿宋"/>
        </w:rPr>
      </w:pPr>
      <w:r>
        <w:rPr>
          <w:rFonts w:ascii="仿宋" w:hAnsi="仿宋" w:cs="仿宋"/>
        </w:rPr>
        <w:t>1</w:t>
      </w:r>
      <w:r>
        <w:rPr>
          <w:rFonts w:hint="eastAsia" w:ascii="仿宋" w:hAnsi="仿宋" w:cs="仿宋"/>
        </w:rPr>
        <w:t>、</w:t>
      </w:r>
      <w:r>
        <w:rPr>
          <w:rFonts w:ascii="仿宋" w:hAnsi="仿宋" w:cs="仿宋"/>
        </w:rPr>
        <w:t>寻找交易对手。拟进</w:t>
      </w:r>
      <w:r>
        <w:rPr>
          <w:rFonts w:hint="eastAsia" w:ascii="仿宋" w:hAnsi="仿宋" w:cs="仿宋"/>
        </w:rPr>
        <w:t>行期转现的一方，可自行找期转现对方，或通过交易所发布期转现意向。</w:t>
      </w:r>
    </w:p>
    <w:p>
      <w:pPr>
        <w:spacing w:line="360" w:lineRule="auto"/>
        <w:ind w:firstLine="480" w:firstLineChars="200"/>
        <w:rPr>
          <w:rFonts w:ascii="仿宋" w:hAnsi="仿宋" w:cs="仿宋"/>
        </w:rPr>
      </w:pPr>
      <w:r>
        <w:rPr>
          <w:rFonts w:ascii="仿宋" w:hAnsi="仿宋" w:cs="仿宋"/>
        </w:rPr>
        <w:t>2</w:t>
      </w:r>
      <w:r>
        <w:rPr>
          <w:rFonts w:hint="eastAsia" w:ascii="仿宋" w:hAnsi="仿宋" w:cs="仿宋"/>
        </w:rPr>
        <w:t>、</w:t>
      </w:r>
      <w:r>
        <w:rPr>
          <w:rFonts w:ascii="仿宋" w:hAnsi="仿宋" w:cs="仿宋"/>
        </w:rPr>
        <w:t>交易双方商定价格。找到对方后，双方首先商定平仓价（须在</w:t>
      </w:r>
      <w:r>
        <w:rPr>
          <w:rFonts w:hint="eastAsia" w:ascii="仿宋" w:hAnsi="仿宋" w:cs="仿宋"/>
        </w:rPr>
        <w:t>审批日期货价格限制范围内）和现货交收价格。</w:t>
      </w:r>
    </w:p>
    <w:p>
      <w:pPr>
        <w:spacing w:line="360" w:lineRule="auto"/>
        <w:ind w:firstLine="480" w:firstLineChars="200"/>
        <w:rPr>
          <w:rFonts w:ascii="仿宋" w:hAnsi="仿宋" w:cs="仿宋"/>
        </w:rPr>
      </w:pPr>
      <w:r>
        <w:rPr>
          <w:rFonts w:ascii="仿宋" w:hAnsi="仿宋" w:cs="仿宋"/>
        </w:rPr>
        <w:t>3</w:t>
      </w:r>
      <w:r>
        <w:rPr>
          <w:rFonts w:hint="eastAsia" w:ascii="仿宋" w:hAnsi="仿宋" w:cs="仿宋"/>
        </w:rPr>
        <w:t>、</w:t>
      </w:r>
      <w:r>
        <w:rPr>
          <w:rFonts w:ascii="仿宋" w:hAnsi="仿宋" w:cs="仿宋"/>
        </w:rPr>
        <w:t>向交易所提出申请。买卖双方到交易所申请办理</w:t>
      </w:r>
      <w:r>
        <w:rPr>
          <w:rFonts w:hint="eastAsia" w:ascii="仿宋" w:hAnsi="仿宋" w:cs="仿宋"/>
        </w:rPr>
        <w:t>期转现手续，填写交易所统一印制的期转现申请单；用非标准仓单交割的，需提供相关的现货买卖协议等证明。</w:t>
      </w:r>
    </w:p>
    <w:p>
      <w:pPr>
        <w:spacing w:line="360" w:lineRule="auto"/>
        <w:ind w:firstLine="480" w:firstLineChars="200"/>
        <w:rPr>
          <w:rFonts w:ascii="仿宋" w:hAnsi="仿宋" w:cs="仿宋"/>
        </w:rPr>
      </w:pPr>
      <w:r>
        <w:rPr>
          <w:rFonts w:ascii="仿宋" w:hAnsi="仿宋" w:cs="仿宋"/>
        </w:rPr>
        <w:t>4</w:t>
      </w:r>
      <w:r>
        <w:rPr>
          <w:rFonts w:hint="eastAsia" w:ascii="仿宋" w:hAnsi="仿宋" w:cs="仿宋"/>
        </w:rPr>
        <w:t>、</w:t>
      </w:r>
      <w:r>
        <w:rPr>
          <w:rFonts w:ascii="仿宋" w:hAnsi="仿宋" w:cs="仿宋"/>
        </w:rPr>
        <w:t>交易所核准。交易所接到</w:t>
      </w:r>
      <w:r>
        <w:rPr>
          <w:rFonts w:hint="eastAsia" w:ascii="仿宋" w:hAnsi="仿宋" w:cs="仿宋"/>
        </w:rPr>
        <w:t>期转现申请和现货买卖协议等资料后进行核对，符合条件的，予以批准，并在批准当日将买卖双方期货头寸平仓。不符合条件的，通知买卖双方会员，会员要及时通知客户。</w:t>
      </w:r>
    </w:p>
    <w:p>
      <w:pPr>
        <w:spacing w:line="360" w:lineRule="auto"/>
        <w:ind w:firstLine="480" w:firstLineChars="200"/>
        <w:rPr>
          <w:rFonts w:ascii="仿宋" w:hAnsi="仿宋" w:cs="仿宋"/>
        </w:rPr>
      </w:pPr>
      <w:r>
        <w:rPr>
          <w:rFonts w:ascii="仿宋" w:hAnsi="仿宋" w:cs="仿宋"/>
        </w:rPr>
        <w:t>5</w:t>
      </w:r>
      <w:r>
        <w:rPr>
          <w:rFonts w:hint="eastAsia" w:ascii="仿宋" w:hAnsi="仿宋" w:cs="仿宋"/>
        </w:rPr>
        <w:t>、</w:t>
      </w:r>
      <w:r>
        <w:rPr>
          <w:rFonts w:ascii="仿宋" w:hAnsi="仿宋" w:cs="仿宋"/>
        </w:rPr>
        <w:t>办理手续。如果用标准仓单</w:t>
      </w:r>
      <w:r>
        <w:rPr>
          <w:rFonts w:hint="eastAsia" w:ascii="仿宋" w:hAnsi="仿宋" w:cs="仿宋"/>
        </w:rPr>
        <w:t>期转现，批准日的下一日，买卖双方到交易所办理仓单过户和货款划转，并缴纳规定手续费。如果用非标准仓单进行期转现，买卖双方按照现货买卖协议自行进行现货交收。</w:t>
      </w:r>
    </w:p>
    <w:p>
      <w:pPr>
        <w:spacing w:line="360" w:lineRule="auto"/>
        <w:ind w:firstLine="480" w:firstLineChars="200"/>
        <w:rPr>
          <w:rFonts w:ascii="仿宋" w:hAnsi="仿宋" w:cs="仿宋"/>
        </w:rPr>
      </w:pPr>
      <w:r>
        <w:rPr>
          <w:rFonts w:ascii="仿宋" w:hAnsi="仿宋" w:cs="仿宋"/>
        </w:rPr>
        <w:t>6</w:t>
      </w:r>
      <w:r>
        <w:rPr>
          <w:rFonts w:hint="eastAsia" w:ascii="仿宋" w:hAnsi="仿宋" w:cs="仿宋"/>
        </w:rPr>
        <w:t>、</w:t>
      </w:r>
      <w:r>
        <w:rPr>
          <w:rFonts w:ascii="仿宋" w:hAnsi="仿宋" w:cs="仿宋"/>
        </w:rPr>
        <w:t>纳税。用标准仓单</w:t>
      </w:r>
      <w:r>
        <w:rPr>
          <w:rFonts w:hint="eastAsia" w:ascii="仿宋" w:hAnsi="仿宋" w:cs="仿宋"/>
        </w:rPr>
        <w:t>期转现的，买卖双方在规定时间到税务部门办理纳税手续。买卖双方各自负担标准仓单期转现中仓单转让环节的手续费。</w:t>
      </w:r>
    </w:p>
    <w:p>
      <w:pPr>
        <w:spacing w:line="360" w:lineRule="auto"/>
        <w:ind w:firstLine="480" w:firstLineChars="200"/>
        <w:rPr>
          <w:rFonts w:ascii="仿宋" w:hAnsi="仿宋" w:cs="仿宋"/>
        </w:rPr>
      </w:pPr>
    </w:p>
    <w:p>
      <w:pPr>
        <w:pStyle w:val="3"/>
        <w:rPr>
          <w:sz w:val="24"/>
          <w:szCs w:val="24"/>
        </w:rPr>
      </w:pPr>
      <w:bookmarkStart w:id="43" w:name="_Toc3896686"/>
      <w:bookmarkStart w:id="44" w:name="_Toc445043869"/>
      <w:r>
        <w:rPr>
          <w:rFonts w:hint="eastAsia"/>
          <w:sz w:val="24"/>
          <w:szCs w:val="24"/>
        </w:rPr>
        <w:t>五、期货投机与套利</w:t>
      </w:r>
      <w:bookmarkEnd w:id="43"/>
      <w:bookmarkEnd w:id="44"/>
    </w:p>
    <w:p>
      <w:pPr>
        <w:pStyle w:val="4"/>
        <w:spacing w:before="0" w:after="0" w:line="360" w:lineRule="auto"/>
        <w:rPr>
          <w:rFonts w:ascii="仿宋" w:hAnsi="仿宋"/>
          <w:szCs w:val="24"/>
        </w:rPr>
      </w:pPr>
      <w:bookmarkStart w:id="45" w:name="_Toc445043870"/>
      <w:bookmarkStart w:id="46" w:name="_Toc3896687"/>
      <w:r>
        <w:rPr>
          <w:rFonts w:hint="eastAsia" w:ascii="仿宋" w:hAnsi="仿宋"/>
          <w:szCs w:val="24"/>
        </w:rPr>
        <w:t>（一）期货套利与期货投机的比较</w:t>
      </w:r>
      <w:bookmarkEnd w:id="45"/>
      <w:bookmarkEnd w:id="46"/>
    </w:p>
    <w:p>
      <w:pPr>
        <w:spacing w:line="360" w:lineRule="auto"/>
        <w:ind w:firstLine="480" w:firstLineChars="200"/>
        <w:rPr>
          <w:rFonts w:ascii="仿宋" w:hAnsi="仿宋" w:cs="仿宋"/>
          <w:bCs/>
          <w:kern w:val="0"/>
        </w:rPr>
      </w:pPr>
      <w:r>
        <w:rPr>
          <w:rFonts w:hint="eastAsia" w:ascii="仿宋" w:hAnsi="仿宋" w:cs="仿宋"/>
          <w:bCs/>
          <w:kern w:val="0"/>
        </w:rPr>
        <w:t>期货套利与期货投机交易的区别主要体现在：</w:t>
      </w:r>
    </w:p>
    <w:p>
      <w:pPr>
        <w:spacing w:line="360" w:lineRule="auto"/>
        <w:ind w:firstLine="480" w:firstLineChars="200"/>
        <w:rPr>
          <w:rFonts w:ascii="仿宋" w:hAnsi="仿宋" w:cs="仿宋"/>
          <w:bCs/>
          <w:kern w:val="0"/>
        </w:rPr>
      </w:pPr>
      <w:r>
        <w:rPr>
          <w:rFonts w:ascii="仿宋" w:hAnsi="仿宋" w:cs="仿宋"/>
          <w:bCs/>
          <w:kern w:val="0"/>
        </w:rPr>
        <w:t>1</w:t>
      </w:r>
      <w:r>
        <w:rPr>
          <w:rFonts w:hint="eastAsia" w:ascii="仿宋" w:hAnsi="仿宋" w:cs="仿宋"/>
          <w:bCs/>
          <w:kern w:val="0"/>
        </w:rPr>
        <w:t>、</w:t>
      </w:r>
      <w:r>
        <w:rPr>
          <w:rFonts w:ascii="仿宋" w:hAnsi="仿宋" w:cs="仿宋"/>
          <w:bCs/>
          <w:kern w:val="0"/>
        </w:rPr>
        <w:t>期货投机交易只是利用单一期货合约绝对价格的波动赚取利润，而套利是从相关市场或相关合约之间的相对价格差异变动套取利润。期货投机者关心和研究的是单一合约的涨跌，而套利者关心和研究的则是两个或多个合约相对价差的变化。</w:t>
      </w:r>
    </w:p>
    <w:p>
      <w:pPr>
        <w:spacing w:line="360" w:lineRule="auto"/>
        <w:ind w:firstLine="480" w:firstLineChars="200"/>
        <w:rPr>
          <w:rFonts w:ascii="仿宋" w:hAnsi="仿宋" w:cs="仿宋"/>
          <w:bCs/>
          <w:kern w:val="0"/>
        </w:rPr>
      </w:pPr>
      <w:r>
        <w:rPr>
          <w:rFonts w:ascii="仿宋" w:hAnsi="仿宋" w:cs="仿宋"/>
          <w:bCs/>
          <w:kern w:val="0"/>
        </w:rPr>
        <w:t>2</w:t>
      </w:r>
      <w:r>
        <w:rPr>
          <w:rFonts w:hint="eastAsia" w:ascii="仿宋" w:hAnsi="仿宋" w:cs="仿宋"/>
          <w:bCs/>
          <w:kern w:val="0"/>
        </w:rPr>
        <w:t>、</w:t>
      </w:r>
      <w:r>
        <w:rPr>
          <w:rFonts w:ascii="仿宋" w:hAnsi="仿宋" w:cs="仿宋"/>
          <w:bCs/>
          <w:kern w:val="0"/>
        </w:rPr>
        <w:t>期货投机交易在一段时间内只做买或卖；而套利则是在同一时间买入和卖出相关期货合约，或者在同一时间在相关市场进行反向交易，同时扮演多头和空头的双重角色。</w:t>
      </w:r>
    </w:p>
    <w:p>
      <w:pPr>
        <w:spacing w:line="360" w:lineRule="auto"/>
        <w:ind w:firstLine="480" w:firstLineChars="200"/>
        <w:rPr>
          <w:rFonts w:ascii="仿宋" w:hAnsi="仿宋" w:cs="仿宋"/>
          <w:bCs/>
          <w:kern w:val="0"/>
        </w:rPr>
      </w:pPr>
      <w:r>
        <w:rPr>
          <w:rFonts w:ascii="仿宋" w:hAnsi="仿宋" w:cs="仿宋"/>
          <w:bCs/>
          <w:kern w:val="0"/>
        </w:rPr>
        <w:t>3</w:t>
      </w:r>
      <w:r>
        <w:rPr>
          <w:rFonts w:hint="eastAsia" w:ascii="仿宋" w:hAnsi="仿宋" w:cs="仿宋"/>
          <w:bCs/>
          <w:kern w:val="0"/>
        </w:rPr>
        <w:t>、</w:t>
      </w:r>
      <w:r>
        <w:rPr>
          <w:rFonts w:ascii="仿宋" w:hAnsi="仿宋" w:cs="仿宋"/>
          <w:bCs/>
          <w:kern w:val="0"/>
        </w:rPr>
        <w:t>期货套利交易赚取的是价差变动的收益。通常情况下，由于相关市场或相关合约价格变化方向大体一致，所以价差的变化幅度小，因而承担的风险也较小。而普通期货投机赚取的是单一的期货合约价格有利变动的收益，与价差的变化相比，单一价格变化幅度要大，因而承担的风险也较大。</w:t>
      </w:r>
    </w:p>
    <w:p>
      <w:pPr>
        <w:spacing w:line="360" w:lineRule="auto"/>
        <w:ind w:firstLine="480" w:firstLineChars="200"/>
        <w:rPr>
          <w:rFonts w:ascii="仿宋" w:hAnsi="仿宋" w:cs="仿宋"/>
          <w:bCs/>
          <w:kern w:val="0"/>
        </w:rPr>
      </w:pPr>
      <w:r>
        <w:rPr>
          <w:rFonts w:ascii="仿宋" w:hAnsi="仿宋" w:cs="仿宋"/>
          <w:bCs/>
          <w:kern w:val="0"/>
        </w:rPr>
        <w:t>4</w:t>
      </w:r>
      <w:r>
        <w:rPr>
          <w:rFonts w:hint="eastAsia" w:ascii="仿宋" w:hAnsi="仿宋" w:cs="仿宋"/>
          <w:bCs/>
          <w:kern w:val="0"/>
        </w:rPr>
        <w:t>、</w:t>
      </w:r>
      <w:r>
        <w:rPr>
          <w:rFonts w:ascii="仿宋" w:hAnsi="仿宋" w:cs="仿宋"/>
          <w:bCs/>
          <w:kern w:val="0"/>
        </w:rPr>
        <w:t>期货套利交易成本一般要低于投机交易成本。一方面，由于套利的风险较小，因此，在保证金的收取上要小于普通期货投机，从而大大节省了资金的占用；另一方面，通常进行相关期货合约的套利交易至少同时涉及两个合约的买卖，在国外，为了鼓励套利交易，一般规定套利交易的佣金支出比单笔交易的佣金费用要高，但比单独做两笔交易的佣金费用之和</w:t>
      </w:r>
      <w:r>
        <w:rPr>
          <w:rFonts w:hint="eastAsia" w:ascii="仿宋" w:hAnsi="仿宋" w:cs="仿宋"/>
          <w:bCs/>
          <w:kern w:val="0"/>
        </w:rPr>
        <w:t>要低，所以说，套利交易的成本较低。</w:t>
      </w:r>
    </w:p>
    <w:p>
      <w:pPr>
        <w:spacing w:line="360" w:lineRule="auto"/>
        <w:ind w:firstLine="480" w:firstLineChars="200"/>
        <w:rPr>
          <w:rFonts w:ascii="仿宋" w:hAnsi="仿宋" w:cs="仿宋"/>
          <w:bCs/>
          <w:kern w:val="0"/>
        </w:rPr>
      </w:pPr>
    </w:p>
    <w:p>
      <w:pPr>
        <w:pStyle w:val="4"/>
        <w:spacing w:before="0" w:after="0" w:line="360" w:lineRule="auto"/>
        <w:rPr>
          <w:rFonts w:ascii="仿宋" w:hAnsi="仿宋"/>
          <w:szCs w:val="24"/>
        </w:rPr>
      </w:pPr>
      <w:bookmarkStart w:id="47" w:name="_Toc445043871"/>
      <w:bookmarkStart w:id="48" w:name="_Toc3896688"/>
      <w:r>
        <w:rPr>
          <w:rFonts w:hint="eastAsia" w:ascii="仿宋" w:hAnsi="仿宋"/>
          <w:szCs w:val="24"/>
        </w:rPr>
        <w:t>（二）期货套利交易类型</w:t>
      </w:r>
      <w:bookmarkEnd w:id="47"/>
      <w:bookmarkEnd w:id="48"/>
    </w:p>
    <w:p>
      <w:pPr>
        <w:spacing w:line="360" w:lineRule="auto"/>
        <w:ind w:firstLine="480" w:firstLineChars="200"/>
        <w:rPr>
          <w:rFonts w:ascii="仿宋" w:hAnsi="仿宋" w:cs="仿宋"/>
          <w:bCs/>
          <w:kern w:val="0"/>
        </w:rPr>
      </w:pPr>
      <w:r>
        <w:rPr>
          <w:rFonts w:hint="eastAsia" w:ascii="仿宋" w:hAnsi="仿宋" w:cs="仿宋"/>
          <w:bCs/>
          <w:kern w:val="0"/>
        </w:rPr>
        <w:t>一般来说，期货套利交易主要是指期货价差套利。所谓价差套利，是指利用期货市场上不同合约之间的价差进行的套利行为。价差套利也可称为价差交易、套期图利。价差套利根据所选择的期货合约的不同，又可分为跨期套利、跨品种套利和跨市套利。</w:t>
      </w:r>
    </w:p>
    <w:p>
      <w:pPr>
        <w:spacing w:line="360" w:lineRule="auto"/>
        <w:ind w:firstLine="480" w:firstLineChars="200"/>
        <w:rPr>
          <w:rFonts w:ascii="仿宋" w:hAnsi="仿宋" w:cs="仿宋"/>
          <w:bCs/>
          <w:kern w:val="0"/>
        </w:rPr>
      </w:pPr>
      <w:r>
        <w:rPr>
          <w:rFonts w:ascii="仿宋" w:hAnsi="仿宋" w:cs="仿宋"/>
          <w:bCs/>
          <w:kern w:val="0"/>
        </w:rPr>
        <w:t>1</w:t>
      </w:r>
      <w:r>
        <w:rPr>
          <w:rFonts w:hint="eastAsia" w:ascii="仿宋" w:hAnsi="仿宋" w:cs="仿宋"/>
          <w:bCs/>
          <w:kern w:val="0"/>
        </w:rPr>
        <w:t>、跨期套利是指在同一市场（即同一交易所）同时买入、卖出同种商品不同交割月份的期货合约，以期在有利时机同时将这些期货合约对冲平仓获利。</w:t>
      </w:r>
    </w:p>
    <w:p>
      <w:pPr>
        <w:spacing w:line="360" w:lineRule="auto"/>
        <w:ind w:firstLine="480" w:firstLineChars="200"/>
        <w:rPr>
          <w:rFonts w:ascii="仿宋" w:hAnsi="仿宋" w:cs="仿宋"/>
          <w:bCs/>
          <w:kern w:val="0"/>
        </w:rPr>
      </w:pPr>
      <w:r>
        <w:rPr>
          <w:rFonts w:ascii="仿宋" w:hAnsi="仿宋" w:cs="仿宋"/>
          <w:bCs/>
          <w:kern w:val="0"/>
        </w:rPr>
        <w:t>2</w:t>
      </w:r>
      <w:r>
        <w:rPr>
          <w:rFonts w:hint="eastAsia" w:ascii="仿宋" w:hAnsi="仿宋" w:cs="仿宋"/>
          <w:bCs/>
          <w:kern w:val="0"/>
        </w:rPr>
        <w:t>、跨品种套利是指利用两种或三种不同的但相互关联的商品之间的期货合约价格差异进行套利，即同时买入或卖出某一交割月份的相互关联的商品期货合约，以期在有利时机同时将这些合约对冲平仓获利。</w:t>
      </w:r>
    </w:p>
    <w:p>
      <w:pPr>
        <w:spacing w:line="360" w:lineRule="auto"/>
        <w:ind w:firstLine="480" w:firstLineChars="200"/>
        <w:rPr>
          <w:rFonts w:ascii="仿宋" w:hAnsi="仿宋" w:cs="仿宋"/>
          <w:bCs/>
          <w:kern w:val="0"/>
        </w:rPr>
      </w:pPr>
      <w:r>
        <w:rPr>
          <w:rFonts w:ascii="仿宋" w:hAnsi="仿宋" w:cs="仿宋"/>
          <w:bCs/>
          <w:kern w:val="0"/>
        </w:rPr>
        <w:t>3</w:t>
      </w:r>
      <w:r>
        <w:rPr>
          <w:rFonts w:hint="eastAsia" w:ascii="仿宋" w:hAnsi="仿宋" w:cs="仿宋"/>
          <w:bCs/>
          <w:kern w:val="0"/>
        </w:rPr>
        <w:t>、跨市套利是指在某个交易所买入（或卖出）某一交割月份的某种商品合约的同时，在另一个交易所卖出（或买入）同一交割月份的同种商品合约，以期在有利时机分别在两个交易所同时对冲在手的合约而获利。</w:t>
      </w:r>
    </w:p>
    <w:p>
      <w:pPr>
        <w:spacing w:line="360" w:lineRule="auto"/>
        <w:ind w:firstLine="480" w:firstLineChars="200"/>
        <w:rPr>
          <w:rFonts w:ascii="仿宋" w:hAnsi="仿宋" w:cs="仿宋"/>
          <w:b/>
        </w:rPr>
      </w:pPr>
      <w:r>
        <w:rPr>
          <w:rFonts w:hint="eastAsia" w:ascii="仿宋" w:hAnsi="仿宋" w:cs="仿宋"/>
        </w:rPr>
        <w:t>根据套利者对不同合约月份中近月合约与远月合约买卖方向的不同，跨期套利可分为牛市套利、熊市套利和蝶式套利。</w:t>
      </w:r>
    </w:p>
    <w:p>
      <w:pPr>
        <w:spacing w:line="360" w:lineRule="auto"/>
        <w:ind w:firstLine="480" w:firstLineChars="200"/>
        <w:rPr>
          <w:rFonts w:ascii="仿宋" w:hAnsi="仿宋" w:cs="仿宋"/>
        </w:rPr>
      </w:pPr>
      <w:r>
        <w:rPr>
          <w:rFonts w:ascii="仿宋" w:hAnsi="仿宋" w:cs="仿宋"/>
        </w:rPr>
        <w:t>1</w:t>
      </w:r>
      <w:r>
        <w:rPr>
          <w:rFonts w:hint="eastAsia" w:ascii="仿宋" w:hAnsi="仿宋" w:cs="仿宋"/>
        </w:rPr>
        <w:t>、</w:t>
      </w:r>
      <w:r>
        <w:rPr>
          <w:rFonts w:ascii="仿宋" w:hAnsi="仿宋" w:cs="仿宋"/>
        </w:rPr>
        <w:t>牛市套利。</w:t>
      </w:r>
      <w:r>
        <w:rPr>
          <w:rFonts w:hint="eastAsia" w:ascii="仿宋" w:hAnsi="仿宋" w:cs="仿宋"/>
        </w:rPr>
        <w:t>买入较近月份合约的同时卖出远期月份合约的套利交易称为牛市套利。</w:t>
      </w:r>
    </w:p>
    <w:p>
      <w:pPr>
        <w:spacing w:line="360" w:lineRule="auto"/>
        <w:ind w:firstLine="480" w:firstLineChars="200"/>
        <w:rPr>
          <w:rFonts w:ascii="仿宋" w:hAnsi="仿宋" w:cs="仿宋"/>
        </w:rPr>
      </w:pPr>
      <w:r>
        <w:rPr>
          <w:rFonts w:hint="eastAsia" w:ascii="仿宋" w:hAnsi="仿宋" w:cs="仿宋"/>
        </w:rPr>
        <w:t>当市场出现供给不足、需求旺盛的情形，导致较近月份的合约价格上涨幅度大于较远期的上涨幅度，或者较近月份的合约价格下降幅度小于较远期的下跌幅度，无论是正向市场还是反向市场，在这种情况下，买入较近月份合约的同时卖出远期月份合约进行套利盈利的可能性比较大，套利者的损益等于两个合约价格变化的差。</w:t>
      </w:r>
    </w:p>
    <w:p>
      <w:pPr>
        <w:spacing w:line="360" w:lineRule="auto"/>
        <w:ind w:firstLine="480" w:firstLineChars="200"/>
        <w:rPr>
          <w:rFonts w:ascii="仿宋" w:hAnsi="仿宋" w:cs="仿宋"/>
        </w:rPr>
      </w:pPr>
      <w:r>
        <w:rPr>
          <w:rFonts w:hint="eastAsia" w:ascii="仿宋" w:hAnsi="仿宋" w:cs="仿宋"/>
        </w:rPr>
        <w:t>【例】设</w:t>
      </w:r>
      <w:r>
        <w:rPr>
          <w:rFonts w:ascii="仿宋" w:hAnsi="仿宋" w:cs="仿宋"/>
        </w:rPr>
        <w:t>10月26日，次年5月份棉花合约价格为19 075元/吨，次年9月份合约价格为19 725元/吨，两者价差为650元/吨。交易者预计棉花价格将上涨，5月与9月的期货合约的价差将有可能缩小。于是，交易者买入50手5月份棉花期货合约的同时卖出50手9月份棉花期货合约。12月26日，5月和9月的棉花期货价格分别上涨为19 555元/吨和20 060元/吨，两者的价差缩小为505元/吨。交易者同时将两种期货合约平仓，从而完成套利交易。交易结果见下表。</w:t>
      </w:r>
    </w:p>
    <w:p>
      <w:pPr>
        <w:spacing w:line="360" w:lineRule="auto"/>
        <w:ind w:firstLine="480" w:firstLineChars="200"/>
        <w:rPr>
          <w:rFonts w:ascii="仿宋" w:hAnsi="仿宋" w:cs="仿宋"/>
        </w:rPr>
      </w:pPr>
      <w:r>
        <w:rPr>
          <w:rFonts w:ascii="仿宋" w:hAnsi="仿宋" w:cs="仿宋"/>
        </w:rPr>
        <w:t xml:space="preserve">                          牛市套利实例</w:t>
      </w:r>
    </w:p>
    <w:tbl>
      <w:tblPr>
        <w:tblStyle w:val="24"/>
        <w:tblW w:w="83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6"/>
        <w:gridCol w:w="2212"/>
        <w:gridCol w:w="2608"/>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6" w:type="dxa"/>
            <w:vAlign w:val="center"/>
          </w:tcPr>
          <w:p>
            <w:pPr>
              <w:spacing w:line="360" w:lineRule="auto"/>
              <w:ind w:firstLine="480" w:firstLineChars="200"/>
              <w:jc w:val="center"/>
              <w:rPr>
                <w:rFonts w:ascii="仿宋" w:hAnsi="仿宋" w:cs="仿宋"/>
              </w:rPr>
            </w:pPr>
            <w:r>
              <w:rPr>
                <w:rFonts w:ascii="仿宋" w:hAnsi="仿宋" w:cs="仿宋"/>
              </w:rPr>
              <w:t>10月26日</w:t>
            </w:r>
          </w:p>
        </w:tc>
        <w:tc>
          <w:tcPr>
            <w:tcW w:w="2212" w:type="dxa"/>
            <w:vAlign w:val="center"/>
          </w:tcPr>
          <w:p>
            <w:pPr>
              <w:spacing w:line="360" w:lineRule="auto"/>
              <w:ind w:firstLine="480" w:firstLineChars="200"/>
              <w:rPr>
                <w:rFonts w:ascii="仿宋" w:hAnsi="仿宋" w:cs="仿宋"/>
              </w:rPr>
            </w:pPr>
            <w:r>
              <w:rPr>
                <w:rFonts w:hint="eastAsia" w:ascii="仿宋" w:hAnsi="仿宋" w:cs="仿宋"/>
              </w:rPr>
              <w:t>买入</w:t>
            </w:r>
            <w:r>
              <w:rPr>
                <w:rFonts w:ascii="仿宋" w:hAnsi="仿宋" w:cs="仿宋"/>
              </w:rPr>
              <w:t>50手5月份棉花期货合约，</w:t>
            </w:r>
          </w:p>
          <w:p>
            <w:pPr>
              <w:spacing w:line="360" w:lineRule="auto"/>
              <w:ind w:firstLine="480" w:firstLineChars="200"/>
              <w:rPr>
                <w:rFonts w:ascii="仿宋" w:hAnsi="仿宋" w:cs="仿宋"/>
              </w:rPr>
            </w:pPr>
            <w:r>
              <w:rPr>
                <w:rFonts w:hint="eastAsia" w:ascii="仿宋" w:hAnsi="仿宋" w:cs="仿宋"/>
              </w:rPr>
              <w:t>价格为</w:t>
            </w:r>
            <w:r>
              <w:rPr>
                <w:rFonts w:ascii="仿宋" w:hAnsi="仿宋" w:cs="仿宋"/>
              </w:rPr>
              <w:t>19 075元/吨</w:t>
            </w:r>
          </w:p>
        </w:tc>
        <w:tc>
          <w:tcPr>
            <w:tcW w:w="2608" w:type="dxa"/>
            <w:vAlign w:val="center"/>
          </w:tcPr>
          <w:p>
            <w:pPr>
              <w:spacing w:line="360" w:lineRule="auto"/>
              <w:ind w:firstLine="480" w:firstLineChars="200"/>
              <w:rPr>
                <w:rFonts w:ascii="仿宋" w:hAnsi="仿宋" w:cs="仿宋"/>
              </w:rPr>
            </w:pPr>
            <w:r>
              <w:rPr>
                <w:rFonts w:hint="eastAsia" w:ascii="仿宋" w:hAnsi="仿宋" w:cs="仿宋"/>
              </w:rPr>
              <w:t>卖出</w:t>
            </w:r>
            <w:r>
              <w:rPr>
                <w:rFonts w:ascii="仿宋" w:hAnsi="仿宋" w:cs="仿宋"/>
              </w:rPr>
              <w:t>50手9月份棉花期货合约，价格为19 725元/吨</w:t>
            </w:r>
          </w:p>
        </w:tc>
        <w:tc>
          <w:tcPr>
            <w:tcW w:w="1645" w:type="dxa"/>
            <w:vAlign w:val="center"/>
          </w:tcPr>
          <w:p>
            <w:pPr>
              <w:spacing w:line="360" w:lineRule="auto"/>
              <w:ind w:firstLine="480" w:firstLineChars="200"/>
              <w:jc w:val="center"/>
              <w:rPr>
                <w:rFonts w:ascii="仿宋" w:hAnsi="仿宋" w:cs="仿宋"/>
              </w:rPr>
            </w:pPr>
            <w:r>
              <w:rPr>
                <w:rFonts w:hint="eastAsia" w:ascii="仿宋" w:hAnsi="仿宋" w:cs="仿宋"/>
              </w:rPr>
              <w:t>价差</w:t>
            </w:r>
            <w:r>
              <w:rPr>
                <w:rFonts w:ascii="仿宋" w:hAnsi="仿宋" w:cs="仿宋"/>
              </w:rPr>
              <w:t>650</w:t>
            </w:r>
          </w:p>
          <w:p>
            <w:pPr>
              <w:spacing w:line="360" w:lineRule="auto"/>
              <w:ind w:firstLine="480" w:firstLineChars="200"/>
              <w:jc w:val="center"/>
              <w:rPr>
                <w:rFonts w:ascii="仿宋" w:hAnsi="仿宋" w:cs="仿宋"/>
              </w:rPr>
            </w:pPr>
            <w:r>
              <w:rPr>
                <w:rFonts w:hint="eastAsia" w:ascii="仿宋" w:hAnsi="仿宋" w:cs="仿宋"/>
              </w:rPr>
              <w:t>元</w:t>
            </w:r>
            <w:r>
              <w:rPr>
                <w:rFonts w:ascii="仿宋" w:hAnsi="仿宋" w:cs="仿宋"/>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6" w:type="dxa"/>
            <w:vAlign w:val="center"/>
          </w:tcPr>
          <w:p>
            <w:pPr>
              <w:spacing w:line="360" w:lineRule="auto"/>
              <w:ind w:firstLine="480" w:firstLineChars="200"/>
              <w:jc w:val="center"/>
              <w:rPr>
                <w:rFonts w:ascii="仿宋" w:hAnsi="仿宋" w:cs="仿宋"/>
              </w:rPr>
            </w:pPr>
            <w:r>
              <w:rPr>
                <w:rFonts w:ascii="仿宋" w:hAnsi="仿宋" w:cs="仿宋"/>
              </w:rPr>
              <w:t>12月26日</w:t>
            </w:r>
          </w:p>
        </w:tc>
        <w:tc>
          <w:tcPr>
            <w:tcW w:w="2212" w:type="dxa"/>
            <w:vAlign w:val="center"/>
          </w:tcPr>
          <w:p>
            <w:pPr>
              <w:spacing w:line="360" w:lineRule="auto"/>
              <w:ind w:firstLine="480" w:firstLineChars="200"/>
              <w:rPr>
                <w:rFonts w:ascii="仿宋" w:hAnsi="仿宋" w:cs="仿宋"/>
              </w:rPr>
            </w:pPr>
            <w:r>
              <w:rPr>
                <w:rFonts w:hint="eastAsia" w:ascii="仿宋" w:hAnsi="仿宋" w:cs="仿宋"/>
              </w:rPr>
              <w:t>卖出</w:t>
            </w:r>
            <w:r>
              <w:rPr>
                <w:rFonts w:ascii="仿宋" w:hAnsi="仿宋" w:cs="仿宋"/>
              </w:rPr>
              <w:t>50手5月份棉花期货合约，价格为19 555元/吨</w:t>
            </w:r>
          </w:p>
        </w:tc>
        <w:tc>
          <w:tcPr>
            <w:tcW w:w="2608" w:type="dxa"/>
            <w:vAlign w:val="center"/>
          </w:tcPr>
          <w:p>
            <w:pPr>
              <w:spacing w:line="360" w:lineRule="auto"/>
              <w:ind w:firstLine="480" w:firstLineChars="200"/>
              <w:rPr>
                <w:rFonts w:ascii="仿宋" w:hAnsi="仿宋" w:cs="仿宋"/>
              </w:rPr>
            </w:pPr>
            <w:r>
              <w:rPr>
                <w:rFonts w:hint="eastAsia" w:ascii="仿宋" w:hAnsi="仿宋" w:cs="仿宋"/>
              </w:rPr>
              <w:t>买入</w:t>
            </w:r>
            <w:r>
              <w:rPr>
                <w:rFonts w:ascii="仿宋" w:hAnsi="仿宋" w:cs="仿宋"/>
              </w:rPr>
              <w:t>50手9月份棉花期货合约，价格为20 060元/吨</w:t>
            </w:r>
          </w:p>
        </w:tc>
        <w:tc>
          <w:tcPr>
            <w:tcW w:w="1645" w:type="dxa"/>
            <w:vAlign w:val="center"/>
          </w:tcPr>
          <w:p>
            <w:pPr>
              <w:spacing w:line="360" w:lineRule="auto"/>
              <w:ind w:firstLine="480" w:firstLineChars="200"/>
              <w:jc w:val="center"/>
              <w:rPr>
                <w:rFonts w:ascii="仿宋" w:hAnsi="仿宋" w:cs="仿宋"/>
              </w:rPr>
            </w:pPr>
            <w:r>
              <w:rPr>
                <w:rFonts w:hint="eastAsia" w:ascii="仿宋" w:hAnsi="仿宋" w:cs="仿宋"/>
              </w:rPr>
              <w:t>价差</w:t>
            </w:r>
            <w:r>
              <w:rPr>
                <w:rFonts w:ascii="仿宋" w:hAnsi="仿宋" w:cs="仿宋"/>
              </w:rPr>
              <w:t>505</w:t>
            </w:r>
          </w:p>
          <w:p>
            <w:pPr>
              <w:spacing w:line="360" w:lineRule="auto"/>
              <w:ind w:firstLine="480" w:firstLineChars="200"/>
              <w:jc w:val="center"/>
              <w:rPr>
                <w:rFonts w:ascii="仿宋" w:hAnsi="仿宋" w:cs="仿宋"/>
              </w:rPr>
            </w:pPr>
            <w:r>
              <w:rPr>
                <w:rFonts w:hint="eastAsia" w:ascii="仿宋" w:hAnsi="仿宋" w:cs="仿宋"/>
              </w:rPr>
              <w:t>元</w:t>
            </w:r>
            <w:r>
              <w:rPr>
                <w:rFonts w:ascii="仿宋" w:hAnsi="仿宋" w:cs="仿宋"/>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6" w:type="dxa"/>
            <w:vAlign w:val="center"/>
          </w:tcPr>
          <w:p>
            <w:pPr>
              <w:spacing w:line="360" w:lineRule="auto"/>
              <w:ind w:firstLine="480" w:firstLineChars="200"/>
              <w:rPr>
                <w:rFonts w:ascii="仿宋" w:hAnsi="仿宋" w:cs="仿宋"/>
              </w:rPr>
            </w:pPr>
            <w:r>
              <w:rPr>
                <w:rFonts w:hint="eastAsia" w:ascii="仿宋" w:hAnsi="仿宋" w:cs="仿宋"/>
              </w:rPr>
              <w:t>每条“腿”的盈亏状况</w:t>
            </w:r>
          </w:p>
        </w:tc>
        <w:tc>
          <w:tcPr>
            <w:tcW w:w="2212" w:type="dxa"/>
            <w:vAlign w:val="center"/>
          </w:tcPr>
          <w:p>
            <w:pPr>
              <w:spacing w:line="360" w:lineRule="auto"/>
              <w:ind w:firstLine="480" w:firstLineChars="200"/>
              <w:rPr>
                <w:rFonts w:ascii="仿宋" w:hAnsi="仿宋" w:cs="仿宋"/>
              </w:rPr>
            </w:pPr>
            <w:r>
              <w:rPr>
                <w:rFonts w:hint="eastAsia" w:ascii="仿宋" w:hAnsi="仿宋" w:cs="仿宋"/>
              </w:rPr>
              <w:t>盈利</w:t>
            </w:r>
            <w:r>
              <w:rPr>
                <w:rFonts w:ascii="仿宋" w:hAnsi="仿宋" w:cs="仿宋"/>
              </w:rPr>
              <w:t>480元/吨</w:t>
            </w:r>
          </w:p>
        </w:tc>
        <w:tc>
          <w:tcPr>
            <w:tcW w:w="2608" w:type="dxa"/>
            <w:vAlign w:val="center"/>
          </w:tcPr>
          <w:p>
            <w:pPr>
              <w:spacing w:line="360" w:lineRule="auto"/>
              <w:ind w:firstLine="480" w:firstLineChars="200"/>
              <w:rPr>
                <w:rFonts w:ascii="仿宋" w:hAnsi="仿宋" w:cs="仿宋"/>
              </w:rPr>
            </w:pPr>
            <w:r>
              <w:rPr>
                <w:rFonts w:hint="eastAsia" w:ascii="仿宋" w:hAnsi="仿宋" w:cs="仿宋"/>
              </w:rPr>
              <w:t>亏损</w:t>
            </w:r>
            <w:r>
              <w:rPr>
                <w:rFonts w:ascii="仿宋" w:hAnsi="仿宋" w:cs="仿宋"/>
              </w:rPr>
              <w:t>335元/吨</w:t>
            </w:r>
          </w:p>
        </w:tc>
        <w:tc>
          <w:tcPr>
            <w:tcW w:w="1645" w:type="dxa"/>
            <w:vAlign w:val="center"/>
          </w:tcPr>
          <w:p>
            <w:pPr>
              <w:spacing w:line="360" w:lineRule="auto"/>
              <w:ind w:firstLine="480" w:firstLineChars="200"/>
              <w:jc w:val="center"/>
              <w:rPr>
                <w:rFonts w:ascii="仿宋" w:hAnsi="仿宋" w:cs="仿宋"/>
              </w:rPr>
            </w:pPr>
            <w:r>
              <w:rPr>
                <w:rFonts w:hint="eastAsia" w:ascii="仿宋" w:hAnsi="仿宋" w:cs="仿宋"/>
              </w:rPr>
              <w:t>价差缩小</w:t>
            </w:r>
            <w:r>
              <w:rPr>
                <w:rFonts w:ascii="仿宋" w:hAnsi="仿宋" w:cs="仿宋"/>
              </w:rPr>
              <w:t>145元/吨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6" w:type="dxa"/>
            <w:vAlign w:val="center"/>
          </w:tcPr>
          <w:p>
            <w:pPr>
              <w:spacing w:line="360" w:lineRule="auto"/>
              <w:ind w:firstLine="480" w:firstLineChars="200"/>
              <w:jc w:val="center"/>
              <w:rPr>
                <w:rFonts w:ascii="仿宋" w:hAnsi="仿宋" w:cs="仿宋"/>
              </w:rPr>
            </w:pPr>
            <w:r>
              <w:rPr>
                <w:rFonts w:hint="eastAsia" w:ascii="仿宋" w:hAnsi="仿宋" w:cs="仿宋"/>
              </w:rPr>
              <w:t>最终结果</w:t>
            </w:r>
          </w:p>
        </w:tc>
        <w:tc>
          <w:tcPr>
            <w:tcW w:w="6465" w:type="dxa"/>
            <w:gridSpan w:val="3"/>
            <w:vAlign w:val="center"/>
          </w:tcPr>
          <w:p>
            <w:pPr>
              <w:spacing w:line="360" w:lineRule="auto"/>
              <w:ind w:firstLine="480" w:firstLineChars="200"/>
              <w:jc w:val="center"/>
              <w:rPr>
                <w:rFonts w:ascii="仿宋" w:hAnsi="仿宋" w:cs="仿宋"/>
              </w:rPr>
            </w:pPr>
            <w:r>
              <w:rPr>
                <w:rFonts w:hint="eastAsia" w:ascii="仿宋" w:hAnsi="仿宋" w:cs="仿宋"/>
              </w:rPr>
              <w:t>盈利</w:t>
            </w:r>
            <w:r>
              <w:rPr>
                <w:rFonts w:ascii="仿宋" w:hAnsi="仿宋" w:cs="仿宋"/>
              </w:rPr>
              <w:t>145元/吨，总盈利为145元/吨×5 0手×5吨/手＝36 250元</w:t>
            </w:r>
          </w:p>
        </w:tc>
      </w:tr>
    </w:tbl>
    <w:p>
      <w:pPr>
        <w:spacing w:line="360" w:lineRule="auto"/>
        <w:ind w:firstLine="480" w:firstLineChars="200"/>
        <w:jc w:val="left"/>
        <w:rPr>
          <w:rFonts w:ascii="仿宋" w:hAnsi="仿宋" w:cs="仿宋"/>
        </w:rPr>
      </w:pPr>
      <w:r>
        <w:rPr>
          <w:rFonts w:hint="eastAsia" w:ascii="仿宋" w:hAnsi="仿宋" w:cs="仿宋"/>
        </w:rPr>
        <w:t>注：</w:t>
      </w:r>
      <w:r>
        <w:rPr>
          <w:rFonts w:ascii="仿宋" w:hAnsi="仿宋" w:cs="仿宋"/>
        </w:rPr>
        <w:t>1手=5吨</w:t>
      </w:r>
    </w:p>
    <w:p>
      <w:pPr>
        <w:spacing w:line="360" w:lineRule="auto"/>
        <w:ind w:firstLine="480" w:firstLineChars="200"/>
        <w:jc w:val="right"/>
        <w:rPr>
          <w:rFonts w:ascii="仿宋" w:hAnsi="仿宋" w:cs="仿宋"/>
        </w:rPr>
      </w:pPr>
    </w:p>
    <w:p>
      <w:pPr>
        <w:spacing w:line="360" w:lineRule="auto"/>
        <w:ind w:firstLine="480" w:firstLineChars="200"/>
        <w:rPr>
          <w:rFonts w:ascii="仿宋" w:hAnsi="仿宋" w:cs="仿宋"/>
        </w:rPr>
      </w:pPr>
      <w:r>
        <w:rPr>
          <w:rFonts w:hint="eastAsia" w:ascii="仿宋" w:hAnsi="仿宋" w:cs="仿宋"/>
        </w:rPr>
        <w:t>该例中，交易者预计棉花期货价格将上涨，两个月后，棉花期货价格的走势与交易者的判断一致，最终交易结果使套利者获得了</w:t>
      </w:r>
      <w:r>
        <w:rPr>
          <w:rFonts w:ascii="仿宋" w:hAnsi="仿宋" w:cs="仿宋"/>
        </w:rPr>
        <w:t>36 250元的盈利。</w:t>
      </w:r>
    </w:p>
    <w:p>
      <w:pPr>
        <w:spacing w:line="360" w:lineRule="auto"/>
        <w:ind w:firstLine="480" w:firstLineChars="200"/>
        <w:rPr>
          <w:rFonts w:ascii="仿宋" w:hAnsi="仿宋" w:cs="仿宋"/>
        </w:rPr>
      </w:pPr>
      <w:r>
        <w:rPr>
          <w:rFonts w:hint="eastAsia" w:ascii="仿宋" w:hAnsi="仿宋" w:cs="仿宋"/>
        </w:rPr>
        <w:t>2、熊市套利。卖出较近月份合约的同时买入远期月份合约的套利交易称为熊市套利。</w:t>
      </w:r>
    </w:p>
    <w:p>
      <w:pPr>
        <w:spacing w:line="360" w:lineRule="auto"/>
        <w:ind w:firstLine="480" w:firstLineChars="200"/>
        <w:rPr>
          <w:rFonts w:ascii="仿宋" w:hAnsi="仿宋" w:cs="仿宋"/>
        </w:rPr>
      </w:pPr>
      <w:r>
        <w:rPr>
          <w:rFonts w:hint="eastAsia" w:ascii="仿宋" w:hAnsi="仿宋" w:cs="仿宋"/>
        </w:rPr>
        <w:t>当市场出现供给过剩，需求相对不足时，一般来说，较近月份的合约价格下降幅度往往要大于较远期合约价格的下降幅度，或者较近月份的合约价格上升幅度小于较远合约价格的上升幅度。无论是在正向市场还是在反向市场，在这种情况下，卖出较近月份合约的同时买入远期月份合约进行套利，盈利的可能性比较大，套利者的损益等于两个合约价格变化的差。</w:t>
      </w:r>
    </w:p>
    <w:p>
      <w:pPr>
        <w:spacing w:line="360" w:lineRule="auto"/>
        <w:ind w:firstLine="480" w:firstLineChars="200"/>
        <w:rPr>
          <w:rFonts w:ascii="仿宋" w:hAnsi="仿宋" w:cs="仿宋"/>
        </w:rPr>
      </w:pPr>
      <w:r>
        <w:rPr>
          <w:rFonts w:ascii="仿宋" w:hAnsi="仿宋" w:cs="仿宋"/>
        </w:rPr>
        <w:t>3</w:t>
      </w:r>
      <w:r>
        <w:rPr>
          <w:rFonts w:hint="eastAsia" w:ascii="仿宋" w:hAnsi="仿宋" w:cs="仿宋"/>
        </w:rPr>
        <w:t>、</w:t>
      </w:r>
      <w:r>
        <w:rPr>
          <w:rFonts w:ascii="仿宋" w:hAnsi="仿宋" w:cs="仿宋"/>
        </w:rPr>
        <w:t>蝶式套利。蝶式套期图利是跨期套利中的又一种常见的形式。它是由共享居中交割月份一个牛市套利和一个熊市套利的跨期套利组合。由于近期和远期月份的期货合约分居于居中月份的两侧，形同蝴蝶的两个翅膀，因此称之为蝶式套期图利。</w:t>
      </w:r>
    </w:p>
    <w:p>
      <w:pPr>
        <w:spacing w:line="360" w:lineRule="auto"/>
        <w:ind w:firstLine="480" w:firstLineChars="200"/>
        <w:rPr>
          <w:rFonts w:ascii="仿宋" w:hAnsi="仿宋" w:cs="仿宋"/>
        </w:rPr>
      </w:pPr>
      <w:r>
        <w:rPr>
          <w:rFonts w:hint="eastAsia" w:ascii="仿宋" w:hAnsi="仿宋" w:cs="仿宋"/>
        </w:rPr>
        <w:t>蝶式套利的具体操作方法是：买入（或卖出）近期月份合约，同时卖出（或买入）居中月份合约，并买入（或卖出）远期月份合约，其中，居中月份合约的数量等于近期月份和远期月份数量之和。这相当于在近期与居中月份之间的牛市（或熊市）套利和在居中月份与远期月份之间的熊市（或牛市）套利的一种组合。例如，套利者同时买入</w:t>
      </w:r>
      <w:r>
        <w:rPr>
          <w:rFonts w:ascii="仿宋" w:hAnsi="仿宋" w:cs="仿宋"/>
        </w:rPr>
        <w:t>2份5月份玉米合约、卖出6份7月份玉米合约、买入4份9月份玉米合约。</w:t>
      </w:r>
    </w:p>
    <w:p>
      <w:pPr>
        <w:spacing w:line="360" w:lineRule="auto"/>
        <w:ind w:firstLine="480" w:firstLineChars="200"/>
        <w:rPr>
          <w:rFonts w:ascii="仿宋" w:hAnsi="仿宋" w:cs="仿宋"/>
        </w:rPr>
      </w:pPr>
      <w:r>
        <w:rPr>
          <w:rFonts w:hint="eastAsia" w:ascii="仿宋" w:hAnsi="仿宋" w:cs="仿宋"/>
        </w:rPr>
        <w:t>商品跨品种套利可分为两种情况，一是相关商品间的套利，二是原料与成品间的套利。</w:t>
      </w:r>
    </w:p>
    <w:p>
      <w:pPr>
        <w:spacing w:line="360" w:lineRule="auto"/>
        <w:ind w:firstLine="480" w:firstLineChars="200"/>
        <w:rPr>
          <w:rFonts w:ascii="仿宋" w:hAnsi="仿宋" w:cs="仿宋"/>
        </w:rPr>
      </w:pPr>
      <w:r>
        <w:rPr>
          <w:rFonts w:ascii="仿宋" w:hAnsi="仿宋" w:cs="仿宋"/>
        </w:rPr>
        <w:t>1</w:t>
      </w:r>
      <w:r>
        <w:rPr>
          <w:rFonts w:hint="eastAsia" w:ascii="仿宋" w:hAnsi="仿宋" w:cs="仿宋"/>
        </w:rPr>
        <w:t>、</w:t>
      </w:r>
      <w:r>
        <w:rPr>
          <w:rFonts w:ascii="仿宋" w:hAnsi="仿宋" w:cs="仿宋"/>
        </w:rPr>
        <w:t>相关商品间的套利</w:t>
      </w:r>
    </w:p>
    <w:p>
      <w:pPr>
        <w:spacing w:line="360" w:lineRule="auto"/>
        <w:ind w:firstLine="480" w:firstLineChars="200"/>
        <w:rPr>
          <w:rFonts w:ascii="仿宋" w:hAnsi="仿宋" w:cs="仿宋"/>
        </w:rPr>
      </w:pPr>
      <w:r>
        <w:rPr>
          <w:rFonts w:hint="eastAsia" w:ascii="仿宋" w:hAnsi="仿宋" w:cs="仿宋"/>
        </w:rPr>
        <w:t>一般来说，商品的价格总是围绕着内在价值上下波动，而不同的商品因其内在的某种联系，如需求替代品、需求互补品、生产替代品或生产互补品等，使得他们的价格存在着某种稳定合理的比值关系。但由于受市场、季节、政策等因素的影响，这些有关联的商品之间的比值关系又经常偏离合理的区间，表现出一种商品被高估，另一种被低估，或相反，从而为跨品种套利带来了可能。在此情况下，交易者可以通过期货市场卖出被高估的商品合约，买入被低估商品合约进行套利，等有利时机出现后分别平仓，从中获利。例如，铜和铝都可以用来作为电线的生产原材料，两者之间具有较强的可替代性，铜的价格上升会引起铝的需求量上升，从而导致铝价格的上涨。因此，当铜和铝的价格关系脱离了正常水平时，就可以用这两个品种进行跨品种套利。具体做法是：买入（或卖出）一定数量的铜期货合约，同时卖出（或买入）与铜期货合约交割月份相同价值量相当的铝期货合约，待将来价差发生有利变化时再分别平仓了结，以期获得价差变化的收益。</w:t>
      </w:r>
    </w:p>
    <w:p>
      <w:pPr>
        <w:spacing w:line="360" w:lineRule="auto"/>
        <w:ind w:firstLine="480" w:firstLineChars="200"/>
        <w:rPr>
          <w:rFonts w:ascii="仿宋" w:hAnsi="仿宋" w:cs="仿宋"/>
        </w:rPr>
      </w:pPr>
      <w:r>
        <w:rPr>
          <w:rFonts w:ascii="仿宋" w:hAnsi="仿宋" w:cs="仿宋"/>
        </w:rPr>
        <w:t xml:space="preserve"> 2</w:t>
      </w:r>
      <w:r>
        <w:rPr>
          <w:rFonts w:hint="eastAsia" w:ascii="仿宋" w:hAnsi="仿宋" w:cs="仿宋"/>
        </w:rPr>
        <w:t>、</w:t>
      </w:r>
      <w:r>
        <w:rPr>
          <w:rFonts w:ascii="仿宋" w:hAnsi="仿宋" w:cs="仿宋"/>
        </w:rPr>
        <w:t>原料与成品间的套利</w:t>
      </w:r>
    </w:p>
    <w:p>
      <w:pPr>
        <w:spacing w:line="360" w:lineRule="auto"/>
        <w:ind w:firstLine="480" w:firstLineChars="200"/>
        <w:rPr>
          <w:rFonts w:ascii="仿宋" w:hAnsi="仿宋" w:cs="仿宋"/>
        </w:rPr>
      </w:pPr>
      <w:r>
        <w:rPr>
          <w:rFonts w:hint="eastAsia" w:ascii="仿宋" w:hAnsi="仿宋" w:cs="仿宋"/>
        </w:rPr>
        <w:t>原料与成品间的套利是指利用原材料商品和它的制成品之间的价格关系进行套利。最典型的是大豆与其两种制成品——豆油和豆粕之间的套利。在我国，大豆与豆油、豆粕之间一般存在着“</w:t>
      </w:r>
      <w:r>
        <w:rPr>
          <w:rFonts w:ascii="仿宋" w:hAnsi="仿宋" w:cs="仿宋"/>
        </w:rPr>
        <w:t>100%大豆=18%豆油+78.5%豆</w:t>
      </w:r>
      <w:r>
        <w:rPr>
          <w:rFonts w:hint="eastAsia" w:ascii="仿宋" w:hAnsi="仿宋" w:cs="仿宋"/>
        </w:rPr>
        <w:t>粕</w:t>
      </w:r>
      <w:r>
        <w:rPr>
          <w:rFonts w:ascii="仿宋" w:hAnsi="仿宋" w:cs="仿宋"/>
        </w:rPr>
        <w:t>+3.5%损耗”的关系（注：出油率的高低和损耗率的高低要受大豆的品质和提取技术的影响，因而比例关系也处在变化之中）。因而，也就存在“100%大豆×购进价格+加工费用+利润=18%的豆油×销售价格+78.5%豆</w:t>
      </w:r>
      <w:r>
        <w:rPr>
          <w:rFonts w:hint="eastAsia" w:ascii="仿宋" w:hAnsi="仿宋" w:cs="仿宋"/>
        </w:rPr>
        <w:t>粕×销售价格”的平衡关系。三种商品之间的套利，有两种做法：大豆提油套利和反向大豆提油套利。</w:t>
      </w:r>
    </w:p>
    <w:p>
      <w:pPr>
        <w:spacing w:line="360" w:lineRule="auto"/>
        <w:ind w:firstLine="480" w:firstLineChars="200"/>
        <w:rPr>
          <w:rFonts w:ascii="仿宋" w:hAnsi="仿宋" w:cs="仿宋"/>
        </w:rPr>
      </w:pPr>
      <w:r>
        <w:rPr>
          <w:rFonts w:hint="eastAsia" w:ascii="仿宋" w:hAnsi="仿宋" w:cs="仿宋"/>
        </w:rPr>
        <w:t>（</w:t>
      </w:r>
      <w:r>
        <w:rPr>
          <w:rFonts w:ascii="仿宋" w:hAnsi="仿宋" w:cs="仿宋"/>
        </w:rPr>
        <w:t>1）大豆</w:t>
      </w:r>
      <w:r>
        <w:rPr>
          <w:rFonts w:hint="eastAsia" w:ascii="仿宋" w:hAnsi="仿宋" w:cs="仿宋"/>
        </w:rPr>
        <w:t>提油套利。大豆提油套利是大豆加工商在市场价格关系基本正常时进行的，目的是防止大豆价格突然上涨，或豆油、豆粕价格突然下跌，从而产生亏损或使已产生的亏损降至最低。由于大豆加工商对大豆的购买和产品的销售不能够同时进行，因而存在着一定的价格变动风险。大豆提油套利的做法是：购买大豆期货合约的同时卖出豆油和豆粕的期货合约，当在现货市场上购入大豆或将成品最终销售时再将期货合约对冲平仓。这样，大豆加工商就可以锁定产成品和原料间的价差，防止市场价格波动带来的损失。</w:t>
      </w:r>
    </w:p>
    <w:p>
      <w:pPr>
        <w:spacing w:line="360" w:lineRule="auto"/>
        <w:ind w:firstLine="480" w:firstLineChars="200"/>
        <w:rPr>
          <w:rFonts w:ascii="仿宋" w:hAnsi="仿宋" w:cs="仿宋"/>
        </w:rPr>
      </w:pPr>
      <w:r>
        <w:rPr>
          <w:rFonts w:ascii="仿宋" w:hAnsi="仿宋" w:cs="仿宋"/>
        </w:rPr>
        <w:t>（2）反向大豆</w:t>
      </w:r>
      <w:r>
        <w:rPr>
          <w:rFonts w:hint="eastAsia" w:ascii="仿宋" w:hAnsi="仿宋" w:cs="仿宋"/>
        </w:rPr>
        <w:t>提油套利。反向大豆提油套利是大豆加工商在市场价格反常时采用的套利。当大豆价格受某些因素的影响出现大幅上涨时，大豆可能与其产品出现价格倒挂，大豆加工商将会采取反向大豆提油套利的做法：卖出大豆期货合约，买进豆油和豆粕的期货合约，同时缩减生产，减少豆粕和豆油的供给量，三者之间的价格将会趋于正常，大豆加工商在期货市场中的盈利将有助于弥补现货市场中的亏损。</w:t>
      </w:r>
    </w:p>
    <w:p>
      <w:pPr>
        <w:spacing w:line="360" w:lineRule="auto"/>
        <w:ind w:firstLine="480" w:firstLineChars="200"/>
        <w:rPr>
          <w:rFonts w:ascii="仿宋" w:hAnsi="仿宋" w:cs="仿宋"/>
          <w:bCs/>
          <w:kern w:val="0"/>
        </w:rPr>
      </w:pPr>
    </w:p>
    <w:p>
      <w:pPr>
        <w:pStyle w:val="3"/>
        <w:rPr>
          <w:sz w:val="24"/>
          <w:szCs w:val="24"/>
        </w:rPr>
      </w:pPr>
      <w:bookmarkStart w:id="49" w:name="_Toc3896689"/>
      <w:bookmarkStart w:id="50" w:name="_Toc445043872"/>
      <w:bookmarkStart w:id="51" w:name="_Toc402111933"/>
      <w:r>
        <w:rPr>
          <w:rFonts w:hint="eastAsia" w:cs="仿宋"/>
          <w:sz w:val="24"/>
          <w:szCs w:val="24"/>
        </w:rPr>
        <w:t>六、</w:t>
      </w:r>
      <w:r>
        <w:rPr>
          <w:rFonts w:hint="eastAsia"/>
          <w:sz w:val="24"/>
          <w:szCs w:val="24"/>
        </w:rPr>
        <w:t>期货行情</w:t>
      </w:r>
      <w:bookmarkEnd w:id="49"/>
      <w:bookmarkEnd w:id="50"/>
      <w:bookmarkEnd w:id="51"/>
    </w:p>
    <w:p>
      <w:pPr>
        <w:pStyle w:val="4"/>
        <w:spacing w:before="0" w:after="0" w:line="360" w:lineRule="auto"/>
        <w:rPr>
          <w:rFonts w:ascii="仿宋" w:hAnsi="仿宋"/>
          <w:szCs w:val="24"/>
        </w:rPr>
      </w:pPr>
      <w:bookmarkStart w:id="52" w:name="_Toc3896690"/>
      <w:bookmarkStart w:id="53" w:name="_Toc445043873"/>
      <w:bookmarkStart w:id="54" w:name="_Toc402111934"/>
      <w:r>
        <w:rPr>
          <w:rFonts w:hint="eastAsia" w:ascii="仿宋" w:hAnsi="仿宋"/>
          <w:szCs w:val="24"/>
        </w:rPr>
        <w:t>（一）基本面分析</w:t>
      </w:r>
      <w:bookmarkEnd w:id="52"/>
      <w:bookmarkEnd w:id="53"/>
      <w:bookmarkEnd w:id="54"/>
    </w:p>
    <w:p>
      <w:pPr>
        <w:widowControl/>
        <w:spacing w:line="360" w:lineRule="auto"/>
        <w:ind w:firstLine="420"/>
        <w:jc w:val="left"/>
        <w:rPr>
          <w:rFonts w:ascii="仿宋" w:hAnsi="仿宋"/>
          <w:bCs/>
          <w:kern w:val="0"/>
        </w:rPr>
      </w:pPr>
      <w:r>
        <w:rPr>
          <w:rFonts w:hint="eastAsia" w:ascii="仿宋" w:hAnsi="仿宋"/>
          <w:bCs/>
          <w:kern w:val="0"/>
        </w:rPr>
        <w:t>对于商品期货而言，基本面分析是从商品的供给量、需求量和库存量变化入手，通过分析期货商品的供求状况及其影响因素，来解释和预测期货价格变化趋势的方法。</w:t>
      </w:r>
    </w:p>
    <w:p>
      <w:pPr>
        <w:widowControl/>
        <w:spacing w:line="360" w:lineRule="auto"/>
        <w:ind w:firstLine="480" w:firstLineChars="200"/>
        <w:jc w:val="left"/>
        <w:rPr>
          <w:rFonts w:ascii="仿宋" w:hAnsi="仿宋"/>
          <w:bCs/>
          <w:kern w:val="0"/>
        </w:rPr>
      </w:pPr>
      <w:r>
        <w:rPr>
          <w:rFonts w:hint="eastAsia" w:ascii="仿宋" w:hAnsi="仿宋"/>
          <w:bCs/>
          <w:kern w:val="0"/>
        </w:rPr>
        <w:t>商品期货基本面分析应重点分析宏观因素和总量因素等相关内容，研究商品产业链各个环节及其相关因素对商品价格的影响。在此础上，还需要期货价格波动影响因素给予特别关注，包括经济波动和周期、金融货币、政治、政策、自然、心理因素等。</w:t>
      </w:r>
    </w:p>
    <w:p>
      <w:pPr>
        <w:pStyle w:val="4"/>
        <w:spacing w:before="0" w:after="0" w:line="360" w:lineRule="auto"/>
        <w:rPr>
          <w:rFonts w:ascii="仿宋" w:hAnsi="仿宋"/>
          <w:bCs w:val="0"/>
          <w:kern w:val="0"/>
        </w:rPr>
      </w:pPr>
      <w:bookmarkStart w:id="55" w:name="_Toc3896691"/>
      <w:r>
        <w:rPr>
          <w:rFonts w:hint="eastAsia" w:ascii="仿宋" w:hAnsi="仿宋"/>
          <w:kern w:val="0"/>
        </w:rPr>
        <w:t>（二）技术分析</w:t>
      </w:r>
      <w:bookmarkEnd w:id="55"/>
    </w:p>
    <w:p>
      <w:pPr>
        <w:widowControl/>
        <w:spacing w:line="360" w:lineRule="auto"/>
        <w:ind w:firstLine="480" w:firstLineChars="200"/>
        <w:jc w:val="left"/>
        <w:rPr>
          <w:rFonts w:ascii="仿宋" w:hAnsi="仿宋"/>
          <w:bCs/>
          <w:kern w:val="0"/>
        </w:rPr>
      </w:pPr>
      <w:r>
        <w:rPr>
          <w:rFonts w:hint="eastAsia" w:ascii="仿宋" w:hAnsi="仿宋"/>
          <w:bCs/>
          <w:kern w:val="0"/>
        </w:rPr>
        <w:t>技术分析法是通过对市场行为本身的分析来预测市场价格的变动方向，即主要是对期货市场的日常交易状态，包括价格变动、交易量与持仓量的变化等资料，按照时间顺序绘制成图形或图表，或者形成一定的指标系统，然后针对这些图形图表或指标系统进行分析研究，以预测期货价格走势的方法。</w:t>
      </w:r>
    </w:p>
    <w:p>
      <w:pPr>
        <w:spacing w:line="360" w:lineRule="auto"/>
        <w:ind w:firstLine="480" w:firstLineChars="200"/>
        <w:rPr>
          <w:rFonts w:ascii="仿宋" w:hAnsi="仿宋"/>
          <w:bCs/>
          <w:kern w:val="0"/>
        </w:rPr>
      </w:pPr>
      <w:r>
        <w:rPr>
          <w:rFonts w:hint="eastAsia" w:ascii="仿宋" w:hAnsi="仿宋"/>
          <w:bCs/>
          <w:kern w:val="0"/>
        </w:rPr>
        <w:t>常见的技术分析理论有道氏理论、波浪理论、江恩理论、循环周期理论、相反理论等。常用的技术分析方法</w:t>
      </w:r>
      <w:r>
        <w:rPr>
          <w:rFonts w:ascii="仿宋" w:hAnsi="仿宋"/>
          <w:bCs/>
          <w:kern w:val="0"/>
        </w:rPr>
        <w:t>K线分析、切线分析、形态分析、指标分析。其中技术指标分析主要有趋势类指标和摆动类指标两类。</w:t>
      </w:r>
    </w:p>
    <w:p>
      <w:pPr>
        <w:pStyle w:val="4"/>
        <w:spacing w:before="0" w:after="0" w:line="360" w:lineRule="auto"/>
        <w:rPr>
          <w:rFonts w:ascii="仿宋" w:hAnsi="仿宋"/>
          <w:szCs w:val="24"/>
        </w:rPr>
      </w:pPr>
      <w:bookmarkStart w:id="56" w:name="_Toc3896692"/>
      <w:r>
        <w:rPr>
          <w:rFonts w:hint="eastAsia" w:ascii="仿宋" w:hAnsi="仿宋"/>
          <w:szCs w:val="24"/>
        </w:rPr>
        <w:t>（三）量价分析</w:t>
      </w:r>
      <w:bookmarkEnd w:id="56"/>
    </w:p>
    <w:p>
      <w:pPr>
        <w:spacing w:line="360" w:lineRule="auto"/>
        <w:ind w:firstLine="480" w:firstLineChars="200"/>
        <w:rPr>
          <w:rFonts w:ascii="仿宋" w:hAnsi="仿宋"/>
          <w:bCs/>
          <w:kern w:val="0"/>
        </w:rPr>
      </w:pPr>
      <w:r>
        <w:rPr>
          <w:rFonts w:hint="eastAsia" w:ascii="仿宋" w:hAnsi="仿宋"/>
          <w:bCs/>
          <w:kern w:val="0"/>
        </w:rPr>
        <w:t>期货市场量价分析方法是指通过分析交易量、持仓量、价格变动及其内在的逻辑关系来分析预测未来价格变动的趋势和方向的分析方法。</w:t>
      </w:r>
    </w:p>
    <w:p>
      <w:pPr>
        <w:spacing w:line="360" w:lineRule="auto"/>
        <w:ind w:firstLine="480" w:firstLineChars="200"/>
        <w:rPr>
          <w:rFonts w:ascii="仿宋" w:hAnsi="仿宋"/>
          <w:bCs/>
          <w:kern w:val="0"/>
        </w:rPr>
      </w:pPr>
      <w:r>
        <w:rPr>
          <w:rFonts w:hint="eastAsia" w:ascii="仿宋" w:hAnsi="仿宋"/>
          <w:bCs/>
          <w:kern w:val="0"/>
        </w:rPr>
        <w:t>一般认为，如果交易量和持仓量均上升，则当前价格趋势很可能按照现有方向继续发展（无论是上涨还是下跌）。如果交易量和持仓量都下降，则当前价格趋势或许即将终结或改变。</w:t>
      </w:r>
    </w:p>
    <w:p>
      <w:pPr>
        <w:pStyle w:val="3"/>
        <w:rPr>
          <w:sz w:val="24"/>
          <w:szCs w:val="24"/>
        </w:rPr>
      </w:pPr>
      <w:bookmarkStart w:id="57" w:name="_Toc3896693"/>
      <w:bookmarkStart w:id="58" w:name="_Toc445043874"/>
      <w:bookmarkStart w:id="59" w:name="_Toc402111935"/>
      <w:r>
        <w:rPr>
          <w:rFonts w:hint="eastAsia"/>
          <w:sz w:val="24"/>
          <w:szCs w:val="24"/>
        </w:rPr>
        <w:t>七、外汇期货</w:t>
      </w:r>
      <w:bookmarkEnd w:id="57"/>
      <w:bookmarkEnd w:id="58"/>
      <w:bookmarkEnd w:id="59"/>
    </w:p>
    <w:p>
      <w:pPr>
        <w:spacing w:line="360" w:lineRule="auto"/>
        <w:ind w:firstLine="480" w:firstLineChars="200"/>
        <w:rPr>
          <w:rFonts w:ascii="仿宋" w:hAnsi="仿宋"/>
          <w:bCs/>
          <w:kern w:val="0"/>
        </w:rPr>
      </w:pPr>
      <w:r>
        <w:rPr>
          <w:rFonts w:hint="eastAsia" w:ascii="仿宋" w:hAnsi="仿宋"/>
          <w:bCs/>
          <w:kern w:val="0"/>
        </w:rPr>
        <w:t>外汇期货（</w:t>
      </w:r>
      <w:r>
        <w:rPr>
          <w:rFonts w:ascii="仿宋" w:hAnsi="仿宋"/>
          <w:bCs/>
          <w:kern w:val="0"/>
        </w:rPr>
        <w:t>Foreign Exchange Futures）是以货币为标的物的期货合约，又称为货币期货或汇率期货。外汇期货诞生于20世纪70年代，是金融期货中最早出现的品种。投资者可利用外汇期货对冲汇率风险。</w:t>
      </w:r>
    </w:p>
    <w:p>
      <w:pPr>
        <w:spacing w:line="360" w:lineRule="auto"/>
        <w:ind w:firstLine="480" w:firstLineChars="200"/>
        <w:rPr>
          <w:rFonts w:ascii="仿宋" w:hAnsi="仿宋"/>
          <w:bCs/>
          <w:kern w:val="0"/>
        </w:rPr>
      </w:pPr>
      <w:r>
        <w:rPr>
          <w:rFonts w:hint="eastAsia" w:ascii="仿宋" w:hAnsi="仿宋"/>
          <w:bCs/>
          <w:kern w:val="0"/>
        </w:rPr>
        <w:t>外汇期货交易要重点关注和预测汇率及汇率的变动。一般地，影响汇率的因素包括汇率制度、经济增长速度与经济运行态势、相对利率水平、国际收支、物价水平和通货膨胀水平的差异、宏观经济政策、中央银行对市场的干预、心理预期与投机性交易、政治局势、军事冲突与突发事件等因素。</w:t>
      </w:r>
    </w:p>
    <w:p>
      <w:pPr>
        <w:pStyle w:val="4"/>
        <w:rPr>
          <w:szCs w:val="24"/>
        </w:rPr>
      </w:pPr>
      <w:bookmarkStart w:id="60" w:name="_Toc3649975"/>
      <w:bookmarkStart w:id="61" w:name="_Toc3896694"/>
      <w:r>
        <w:rPr>
          <w:rFonts w:hint="eastAsia"/>
          <w:szCs w:val="24"/>
        </w:rPr>
        <w:t>（一）外汇远期交易</w:t>
      </w:r>
      <w:bookmarkEnd w:id="60"/>
      <w:bookmarkEnd w:id="61"/>
    </w:p>
    <w:p>
      <w:pPr>
        <w:spacing w:line="360" w:lineRule="auto"/>
        <w:ind w:firstLine="480" w:firstLineChars="200"/>
        <w:rPr>
          <w:rFonts w:ascii="仿宋" w:hAnsi="仿宋"/>
          <w:bCs/>
          <w:kern w:val="0"/>
        </w:rPr>
      </w:pPr>
      <w:r>
        <mc:AlternateContent>
          <mc:Choice Requires="wpg">
            <w:drawing>
              <wp:anchor distT="0" distB="0" distL="114300" distR="114300" simplePos="0" relativeHeight="251661312" behindDoc="0" locked="0" layoutInCell="1" allowOverlap="1">
                <wp:simplePos x="0" y="0"/>
                <wp:positionH relativeFrom="margin">
                  <wp:posOffset>222250</wp:posOffset>
                </wp:positionH>
                <wp:positionV relativeFrom="paragraph">
                  <wp:posOffset>615950</wp:posOffset>
                </wp:positionV>
                <wp:extent cx="4870450" cy="946150"/>
                <wp:effectExtent l="0" t="0" r="25400" b="25400"/>
                <wp:wrapNone/>
                <wp:docPr id="96" name="组合 96"/>
                <wp:cNvGraphicFramePr/>
                <a:graphic xmlns:a="http://schemas.openxmlformats.org/drawingml/2006/main">
                  <a:graphicData uri="http://schemas.microsoft.com/office/word/2010/wordprocessingGroup">
                    <wpg:wgp>
                      <wpg:cNvGrpSpPr/>
                      <wpg:grpSpPr>
                        <a:xfrm>
                          <a:off x="0" y="0"/>
                          <a:ext cx="4870450" cy="946150"/>
                          <a:chOff x="2301" y="3446"/>
                          <a:chExt cx="7670" cy="1490"/>
                        </a:xfrm>
                      </wpg:grpSpPr>
                      <wps:wsp>
                        <wps:cNvPr id="97" name="Rectangle 3"/>
                        <wps:cNvSpPr>
                          <a:spLocks noChangeArrowheads="1"/>
                        </wps:cNvSpPr>
                        <wps:spPr bwMode="auto">
                          <a:xfrm>
                            <a:off x="2301" y="3446"/>
                            <a:ext cx="806" cy="516"/>
                          </a:xfrm>
                          <a:prstGeom prst="rect">
                            <a:avLst/>
                          </a:prstGeom>
                          <a:solidFill>
                            <a:srgbClr val="FFFFFF"/>
                          </a:solidFill>
                          <a:ln w="9525">
                            <a:solidFill>
                              <a:srgbClr val="000000"/>
                            </a:solidFill>
                            <a:miter lim="800000"/>
                          </a:ln>
                        </wps:spPr>
                        <wps:txbx>
                          <w:txbxContent>
                            <w:p>
                              <w:pPr>
                                <w:rPr>
                                  <w:sz w:val="22"/>
                                </w:rPr>
                              </w:pPr>
                              <w:r>
                                <w:rPr>
                                  <w:rFonts w:hint="eastAsia"/>
                                  <w:sz w:val="22"/>
                                </w:rPr>
                                <w:t>成交日</w:t>
                              </w:r>
                            </w:p>
                          </w:txbxContent>
                        </wps:txbx>
                        <wps:bodyPr rot="0" vert="horz" wrap="square" lIns="91440" tIns="45720" rIns="91440" bIns="45720" anchor="t" anchorCtr="0" upright="1">
                          <a:noAutofit/>
                        </wps:bodyPr>
                      </wps:wsp>
                      <wps:wsp>
                        <wps:cNvPr id="98" name="Rectangle 4"/>
                        <wps:cNvSpPr>
                          <a:spLocks noChangeArrowheads="1"/>
                        </wps:cNvSpPr>
                        <wps:spPr bwMode="auto">
                          <a:xfrm>
                            <a:off x="4551" y="3470"/>
                            <a:ext cx="1603" cy="502"/>
                          </a:xfrm>
                          <a:prstGeom prst="rect">
                            <a:avLst/>
                          </a:prstGeom>
                          <a:solidFill>
                            <a:srgbClr val="FFFFFF"/>
                          </a:solidFill>
                          <a:ln w="9525">
                            <a:solidFill>
                              <a:srgbClr val="000000"/>
                            </a:solidFill>
                            <a:miter lim="800000"/>
                          </a:ln>
                        </wps:spPr>
                        <wps:txbx>
                          <w:txbxContent>
                            <w:p>
                              <w:r>
                                <w:rPr>
                                  <w:rFonts w:hint="eastAsia"/>
                                  <w:sz w:val="22"/>
                                </w:rPr>
                                <w:t>即期起息日</w:t>
                              </w:r>
                            </w:p>
                          </w:txbxContent>
                        </wps:txbx>
                        <wps:bodyPr rot="0" vert="horz" wrap="square" lIns="91440" tIns="45720" rIns="91440" bIns="45720" anchor="t" anchorCtr="0" upright="1">
                          <a:noAutofit/>
                        </wps:bodyPr>
                      </wps:wsp>
                      <wps:wsp>
                        <wps:cNvPr id="99" name="Rectangle 5"/>
                        <wps:cNvSpPr>
                          <a:spLocks noChangeArrowheads="1"/>
                        </wps:cNvSpPr>
                        <wps:spPr bwMode="auto">
                          <a:xfrm>
                            <a:off x="7770" y="3516"/>
                            <a:ext cx="2201" cy="550"/>
                          </a:xfrm>
                          <a:prstGeom prst="rect">
                            <a:avLst/>
                          </a:prstGeom>
                          <a:solidFill>
                            <a:srgbClr val="FFFFFF"/>
                          </a:solidFill>
                          <a:ln w="9525">
                            <a:solidFill>
                              <a:srgbClr val="000000"/>
                            </a:solidFill>
                            <a:miter lim="800000"/>
                          </a:ln>
                        </wps:spPr>
                        <wps:txbx>
                          <w:txbxContent>
                            <w:p>
                              <w:pPr>
                                <w:rPr>
                                  <w:sz w:val="21"/>
                                </w:rPr>
                              </w:pPr>
                              <w:r>
                                <w:rPr>
                                  <w:rFonts w:hint="eastAsia"/>
                                  <w:sz w:val="21"/>
                                </w:rPr>
                                <w:t>起息日（资金交割）</w:t>
                              </w:r>
                            </w:p>
                          </w:txbxContent>
                        </wps:txbx>
                        <wps:bodyPr rot="0" vert="horz" wrap="square" lIns="91440" tIns="45720" rIns="91440" bIns="45720" anchor="t" anchorCtr="0" upright="1">
                          <a:noAutofit/>
                        </wps:bodyPr>
                      </wps:wsp>
                      <wps:wsp>
                        <wps:cNvPr id="100" name="AutoShape 6"/>
                        <wps:cNvCnPr>
                          <a:cxnSpLocks noChangeShapeType="1"/>
                        </wps:cNvCnPr>
                        <wps:spPr bwMode="auto">
                          <a:xfrm>
                            <a:off x="2676" y="3972"/>
                            <a:ext cx="0" cy="462"/>
                          </a:xfrm>
                          <a:prstGeom prst="straightConnector1">
                            <a:avLst/>
                          </a:prstGeom>
                          <a:noFill/>
                          <a:ln w="9525">
                            <a:solidFill>
                              <a:srgbClr val="000000"/>
                            </a:solidFill>
                            <a:round/>
                          </a:ln>
                        </wps:spPr>
                        <wps:bodyPr/>
                      </wps:wsp>
                      <wps:wsp>
                        <wps:cNvPr id="101" name="AutoShape 7"/>
                        <wps:cNvCnPr>
                          <a:cxnSpLocks noChangeShapeType="1"/>
                        </wps:cNvCnPr>
                        <wps:spPr bwMode="auto">
                          <a:xfrm>
                            <a:off x="8925" y="4051"/>
                            <a:ext cx="1" cy="831"/>
                          </a:xfrm>
                          <a:prstGeom prst="straightConnector1">
                            <a:avLst/>
                          </a:prstGeom>
                          <a:noFill/>
                          <a:ln w="9525">
                            <a:solidFill>
                              <a:srgbClr val="000000"/>
                            </a:solidFill>
                            <a:round/>
                          </a:ln>
                        </wps:spPr>
                        <wps:bodyPr/>
                      </wps:wsp>
                      <wps:wsp>
                        <wps:cNvPr id="102" name="AutoShape 8"/>
                        <wps:cNvCnPr>
                          <a:cxnSpLocks noChangeShapeType="1"/>
                        </wps:cNvCnPr>
                        <wps:spPr bwMode="auto">
                          <a:xfrm>
                            <a:off x="2676" y="4434"/>
                            <a:ext cx="6249" cy="0"/>
                          </a:xfrm>
                          <a:prstGeom prst="straightConnector1">
                            <a:avLst/>
                          </a:prstGeom>
                          <a:noFill/>
                          <a:ln w="9525">
                            <a:solidFill>
                              <a:srgbClr val="000000"/>
                            </a:solidFill>
                            <a:round/>
                          </a:ln>
                        </wps:spPr>
                        <wps:bodyPr/>
                      </wps:wsp>
                      <wps:wsp>
                        <wps:cNvPr id="103" name="AutoShape 9"/>
                        <wps:cNvCnPr>
                          <a:cxnSpLocks noChangeShapeType="1"/>
                        </wps:cNvCnPr>
                        <wps:spPr bwMode="auto">
                          <a:xfrm>
                            <a:off x="5013" y="3972"/>
                            <a:ext cx="13" cy="910"/>
                          </a:xfrm>
                          <a:prstGeom prst="straightConnector1">
                            <a:avLst/>
                          </a:prstGeom>
                          <a:noFill/>
                          <a:ln w="9525">
                            <a:solidFill>
                              <a:srgbClr val="000000"/>
                            </a:solidFill>
                            <a:round/>
                          </a:ln>
                        </wps:spPr>
                        <wps:bodyPr/>
                      </wps:wsp>
                      <wps:wsp>
                        <wps:cNvPr id="104" name="文本框 2"/>
                        <wps:cNvSpPr txBox="1">
                          <a:spLocks noChangeArrowheads="1"/>
                        </wps:cNvSpPr>
                        <wps:spPr bwMode="auto">
                          <a:xfrm>
                            <a:off x="6086" y="4536"/>
                            <a:ext cx="1708" cy="400"/>
                          </a:xfrm>
                          <a:prstGeom prst="rect">
                            <a:avLst/>
                          </a:prstGeom>
                          <a:solidFill>
                            <a:srgbClr val="FFFFFF"/>
                          </a:solidFill>
                          <a:ln w="9525">
                            <a:solidFill>
                              <a:srgbClr val="000000"/>
                            </a:solidFill>
                            <a:miter lim="800000"/>
                          </a:ln>
                        </wps:spPr>
                        <wps:txbx>
                          <w:txbxContent>
                            <w:p>
                              <w:pPr>
                                <w:ind w:firstLine="400"/>
                                <w:rPr>
                                  <w:sz w:val="20"/>
                                </w:rPr>
                              </w:pPr>
                              <w:r>
                                <w:rPr>
                                  <w:rFonts w:hint="eastAsia"/>
                                  <w:sz w:val="20"/>
                                </w:rPr>
                                <w:t>期限</w:t>
                              </w:r>
                            </w:p>
                          </w:txbxContent>
                        </wps:txbx>
                        <wps:bodyPr rot="0" vert="horz" wrap="square" lIns="91440" tIns="45720" rIns="91440" bIns="45720" anchor="t" anchorCtr="0" upright="1">
                          <a:noAutofit/>
                        </wps:bodyPr>
                      </wps:wsp>
                      <wps:wsp>
                        <wps:cNvPr id="105" name="AutoShape 11"/>
                        <wps:cNvCnPr>
                          <a:cxnSpLocks noChangeShapeType="1"/>
                        </wps:cNvCnPr>
                        <wps:spPr bwMode="auto">
                          <a:xfrm flipH="1">
                            <a:off x="5026" y="4651"/>
                            <a:ext cx="1073" cy="0"/>
                          </a:xfrm>
                          <a:prstGeom prst="straightConnector1">
                            <a:avLst/>
                          </a:prstGeom>
                          <a:noFill/>
                          <a:ln w="9525">
                            <a:solidFill>
                              <a:srgbClr val="000000"/>
                            </a:solidFill>
                            <a:round/>
                            <a:tailEnd type="triangle" w="med" len="med"/>
                          </a:ln>
                        </wps:spPr>
                        <wps:bodyPr/>
                      </wps:wsp>
                      <wps:wsp>
                        <wps:cNvPr id="106" name="AutoShape 12"/>
                        <wps:cNvCnPr>
                          <a:cxnSpLocks noChangeShapeType="1"/>
                        </wps:cNvCnPr>
                        <wps:spPr bwMode="auto">
                          <a:xfrm>
                            <a:off x="7781" y="4651"/>
                            <a:ext cx="1131" cy="0"/>
                          </a:xfrm>
                          <a:prstGeom prst="straightConnector1">
                            <a:avLst/>
                          </a:prstGeom>
                          <a:noFill/>
                          <a:ln w="9525">
                            <a:solidFill>
                              <a:srgbClr val="000000"/>
                            </a:solidFill>
                            <a:round/>
                            <a:tailEnd type="triangle" w="med" len="med"/>
                          </a:ln>
                        </wps:spPr>
                        <wps:bodyPr/>
                      </wps:wsp>
                    </wpg:wgp>
                  </a:graphicData>
                </a:graphic>
              </wp:anchor>
            </w:drawing>
          </mc:Choice>
          <mc:Fallback>
            <w:pict>
              <v:group id="_x0000_s1026" o:spid="_x0000_s1026" o:spt="203" style="position:absolute;left:0pt;margin-left:17.5pt;margin-top:48.5pt;height:74.5pt;width:383.5pt;mso-position-horizontal-relative:margin;z-index:251661312;mso-width-relative:page;mso-height-relative:page;" coordorigin="2301,3446" coordsize="7670,1490" o:gfxdata="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">
                <o:lock v:ext="edit" aspectratio="f"/>
                <v:rect id="Rectangle 3" o:spid="_x0000_s1026" o:spt="1" style="position:absolute;left:2301;top:3446;height:516;width:806;" fillcolor="#FFFFFF" filled="t" stroked="t" coordsize="21600,21600" o:gfxdata="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6aFv7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rPr>
                            <w:sz w:val="22"/>
                          </w:rPr>
                        </w:pPr>
                        <w:r>
                          <w:rPr>
                            <w:rFonts w:hint="eastAsia"/>
                            <w:sz w:val="22"/>
                          </w:rPr>
                          <w:t>成交日</w:t>
                        </w:r>
                      </w:p>
                    </w:txbxContent>
                  </v:textbox>
                </v:rect>
                <v:rect id="Rectangle 4" o:spid="_x0000_s1026" o:spt="1" style="position:absolute;left:4551;top:3470;height:502;width:1603;" fillcolor="#FFFFFF" filled="t" stroked="t" coordsize="21600,21600" o:gfxdata="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Y5Ec25AAAA2wAA&#10;AA8AAAAAAAAAAQAgAAAAIgAAAGRycy9kb3ducmV2LnhtbFBLAQIUABQAAAAIAIdO4kAzLwWeOwAA&#10;ADkAAAAQAAAAAAAAAAEAIAAAAAgBAABkcnMvc2hhcGV4bWwueG1sUEsFBgAAAAAGAAYAWwEAALID&#10;AAAAAA==&#10;">
                  <v:fill on="t" focussize="0,0"/>
                  <v:stroke color="#000000" miterlimit="8" joinstyle="miter"/>
                  <v:imagedata o:title=""/>
                  <o:lock v:ext="edit" aspectratio="f"/>
                  <v:textbox>
                    <w:txbxContent>
                      <w:p>
                        <w:r>
                          <w:rPr>
                            <w:rFonts w:hint="eastAsia"/>
                            <w:sz w:val="22"/>
                          </w:rPr>
                          <w:t>即期起息日</w:t>
                        </w:r>
                      </w:p>
                    </w:txbxContent>
                  </v:textbox>
                </v:rect>
                <v:rect id="Rectangle 5" o:spid="_x0000_s1026" o:spt="1" style="position:absolute;left:7770;top:3516;height:550;width:2201;" fillcolor="#FFFFFF" filled="t" stroked="t" coordsize="21600,21600" o:gfxdata="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l1tFa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rPr>
                            <w:sz w:val="21"/>
                          </w:rPr>
                        </w:pPr>
                        <w:r>
                          <w:rPr>
                            <w:rFonts w:hint="eastAsia"/>
                            <w:sz w:val="21"/>
                          </w:rPr>
                          <w:t>起息日（资金交割）</w:t>
                        </w:r>
                      </w:p>
                    </w:txbxContent>
                  </v:textbox>
                </v:rect>
                <v:shape id="AutoShape 6" o:spid="_x0000_s1026" o:spt="32" type="#_x0000_t32" style="position:absolute;left:2676;top:3972;height:462;width:0;" filled="f" stroked="t" coordsize="21600,21600" o:gfxdata="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EMx/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AutoShape 7" o:spid="_x0000_s1026" o:spt="32" type="#_x0000_t32" style="position:absolute;left:8925;top:4051;height:831;width:1;" filled="f" stroked="t" coordsize="21600,21600" o:gfxdata="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8PlGa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shape id="AutoShape 8" o:spid="_x0000_s1026" o:spt="32" type="#_x0000_t32" style="position:absolute;left:2676;top:4434;height:0;width:6249;" filled="f" stroked="t" coordsize="21600,21600" o:gfxdata="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dChG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9" o:spid="_x0000_s1026" o:spt="32" type="#_x0000_t32" style="position:absolute;left:5013;top:3972;height:910;width:13;" filled="f" stroked="t" coordsize="21600,21600" o:gfxdata="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ka+K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文本框 2" o:spid="_x0000_s1026" o:spt="202" type="#_x0000_t202" style="position:absolute;left:6086;top:4536;height:400;width:1708;" fillcolor="#FFFFFF" filled="t" stroked="t" coordsize="21600,21600" o:gfxdata="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C1Pai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ind w:firstLine="400"/>
                          <w:rPr>
                            <w:sz w:val="20"/>
                          </w:rPr>
                        </w:pPr>
                        <w:r>
                          <w:rPr>
                            <w:rFonts w:hint="eastAsia"/>
                            <w:sz w:val="20"/>
                          </w:rPr>
                          <w:t>期限</w:t>
                        </w:r>
                      </w:p>
                    </w:txbxContent>
                  </v:textbox>
                </v:shape>
                <v:shape id="AutoShape 11" o:spid="_x0000_s1026" o:spt="32" type="#_x0000_t32" style="position:absolute;left:5026;top:4651;flip:x;height:0;width:1073;" filled="f" stroked="t" coordsize="21600,21600" o:gfxdata="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gmmYL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AutoShape 12" o:spid="_x0000_s1026" o:spt="32" type="#_x0000_t32" style="position:absolute;left:7781;top:4651;height:0;width:1131;" filled="f" stroked="t" coordsize="21600,21600" o:gfxdata="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rZ9OC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w:pict>
          </mc:Fallback>
        </mc:AlternateContent>
      </w:r>
      <w:r>
        <w:rPr>
          <w:rFonts w:hint="eastAsia" w:ascii="仿宋" w:hAnsi="仿宋"/>
          <w:bCs/>
          <w:kern w:val="0"/>
        </w:rPr>
        <w:t>外汇远期交易指交易双方以约定的币种、金额、汇率，在未来某一约定的日期交割的外汇交易。</w:t>
      </w:r>
    </w:p>
    <w:p>
      <w:pPr>
        <w:spacing w:line="360" w:lineRule="auto"/>
        <w:ind w:firstLine="480" w:firstLineChars="200"/>
        <w:rPr>
          <w:rFonts w:ascii="仿宋" w:hAnsi="仿宋"/>
          <w:bCs/>
          <w:kern w:val="0"/>
        </w:rPr>
      </w:pPr>
    </w:p>
    <w:p>
      <w:pPr>
        <w:spacing w:line="360" w:lineRule="auto"/>
        <w:ind w:firstLine="480" w:firstLineChars="200"/>
        <w:rPr>
          <w:rFonts w:ascii="仿宋" w:hAnsi="仿宋"/>
          <w:bCs/>
          <w:kern w:val="0"/>
        </w:rPr>
      </w:pPr>
    </w:p>
    <w:p/>
    <w:p/>
    <w:p/>
    <w:p>
      <w:pPr>
        <w:jc w:val="center"/>
      </w:pPr>
      <w:r>
        <w:rPr>
          <w:rFonts w:hint="eastAsia"/>
        </w:rPr>
        <w:t>图1-1    外汇远期交易示意图</w:t>
      </w:r>
    </w:p>
    <w:p>
      <w:pPr>
        <w:pStyle w:val="4"/>
        <w:rPr>
          <w:szCs w:val="24"/>
        </w:rPr>
      </w:pPr>
      <w:bookmarkStart w:id="62" w:name="_Toc3896695"/>
      <w:r>
        <w:rPr>
          <w:rFonts w:hint="eastAsia"/>
          <w:szCs w:val="24"/>
        </w:rPr>
        <w:t>（二）外汇期货套期保值</w:t>
      </w:r>
      <w:bookmarkEnd w:id="62"/>
    </w:p>
    <w:p>
      <w:pPr>
        <w:spacing w:line="360" w:lineRule="auto"/>
        <w:ind w:firstLine="480" w:firstLineChars="200"/>
        <w:rPr>
          <w:rFonts w:ascii="仿宋" w:hAnsi="仿宋"/>
          <w:bCs/>
          <w:kern w:val="0"/>
        </w:rPr>
      </w:pPr>
      <w:r>
        <w:rPr>
          <w:rFonts w:hint="eastAsia" w:ascii="仿宋" w:hAnsi="仿宋"/>
          <w:bCs/>
          <w:kern w:val="0"/>
        </w:rPr>
        <w:t>外汇期货套期保值是指交易者在期货市场和现汇市场上做币种相同、数量相同、方向相反的交易，通过建立盈亏冲抵机制实现保值的交易方式。外汇期货套期保值可分为卖出套期保值、买入套期保值和交叉套期保值。</w:t>
      </w:r>
    </w:p>
    <w:p>
      <w:pPr>
        <w:spacing w:line="360" w:lineRule="auto"/>
        <w:ind w:firstLine="480" w:firstLineChars="200"/>
        <w:rPr>
          <w:rFonts w:ascii="仿宋" w:hAnsi="仿宋" w:cs="仿宋"/>
        </w:rPr>
      </w:pPr>
      <w:r>
        <w:rPr>
          <w:rFonts w:hint="eastAsia" w:ascii="仿宋" w:hAnsi="仿宋" w:cs="仿宋"/>
        </w:rPr>
        <w:t>1、卖出套期保值</w:t>
      </w:r>
    </w:p>
    <w:p>
      <w:pPr>
        <w:spacing w:line="360" w:lineRule="auto"/>
        <w:ind w:firstLine="480" w:firstLineChars="200"/>
        <w:rPr>
          <w:rFonts w:ascii="仿宋" w:hAnsi="仿宋"/>
          <w:bCs/>
          <w:kern w:val="0"/>
        </w:rPr>
      </w:pPr>
      <w:r>
        <w:rPr>
          <w:rFonts w:hint="eastAsia" w:ascii="仿宋" w:hAnsi="仿宋"/>
          <w:bCs/>
          <w:kern w:val="0"/>
        </w:rPr>
        <w:t>外汇期货卖出套期保值（Short Hedging），又称外汇期货空头套期保值，是指在现汇市场上处于多头地位的交易者为防止汇率下跌，在外汇期货市场上卖出期货合约对冲现货的价格风险。</w:t>
      </w:r>
    </w:p>
    <w:p>
      <w:pPr>
        <w:spacing w:line="360" w:lineRule="auto"/>
        <w:ind w:firstLine="480" w:firstLineChars="200"/>
        <w:rPr>
          <w:rFonts w:ascii="仿宋" w:hAnsi="仿宋"/>
          <w:bCs/>
          <w:kern w:val="0"/>
        </w:rPr>
      </w:pPr>
      <w:r>
        <w:rPr>
          <w:rFonts w:hint="eastAsia" w:ascii="仿宋" w:hAnsi="仿宋"/>
          <w:bCs/>
          <w:kern w:val="0"/>
        </w:rPr>
        <w:t>适合外汇期货卖出套期保值的情形主要包括：（1）持有外汇资产者，担心未来货币贬值。（2）出口商和从事国际业务的银行预计未来某一时间将会得到一笔外汇，为了避免外汇汇率下跌造成损失。</w:t>
      </w:r>
    </w:p>
    <w:p>
      <w:pPr>
        <w:spacing w:line="360" w:lineRule="auto"/>
        <w:ind w:firstLine="480" w:firstLineChars="200"/>
        <w:rPr>
          <w:rFonts w:ascii="仿宋" w:hAnsi="仿宋" w:cs="仿宋"/>
        </w:rPr>
      </w:pPr>
      <w:r>
        <w:rPr>
          <w:rFonts w:hint="eastAsia" w:ascii="仿宋" w:hAnsi="仿宋" w:cs="仿宋"/>
        </w:rPr>
        <w:t>2、买入套期保值</w:t>
      </w:r>
    </w:p>
    <w:p>
      <w:pPr>
        <w:spacing w:line="360" w:lineRule="auto"/>
        <w:ind w:firstLine="480" w:firstLineChars="200"/>
        <w:rPr>
          <w:rFonts w:ascii="仿宋" w:hAnsi="仿宋"/>
          <w:bCs/>
          <w:kern w:val="0"/>
        </w:rPr>
      </w:pPr>
      <w:r>
        <w:rPr>
          <w:rFonts w:hint="eastAsia" w:ascii="仿宋" w:hAnsi="仿宋"/>
          <w:bCs/>
          <w:kern w:val="0"/>
        </w:rPr>
        <w:t>外汇期货买入套期保值（Long Hedging）又称外汇期货多头套期保值，是指在现货市场处于空头地位的交易者为防止汇率上升，在期货市场上买入外汇期货合约对冲现货的价格风险。</w:t>
      </w:r>
    </w:p>
    <w:p>
      <w:pPr>
        <w:spacing w:line="360" w:lineRule="auto"/>
        <w:ind w:firstLine="480" w:firstLineChars="200"/>
        <w:rPr>
          <w:rFonts w:ascii="仿宋" w:hAnsi="仿宋"/>
          <w:bCs/>
          <w:kern w:val="0"/>
        </w:rPr>
      </w:pPr>
      <w:r>
        <w:rPr>
          <w:rFonts w:hint="eastAsia" w:ascii="仿宋" w:hAnsi="仿宋"/>
          <w:bCs/>
          <w:kern w:val="0"/>
        </w:rPr>
        <w:t>适合做外汇期货买入套期保值的情形主要包括：（1）外汇短期负债者担心未来货币升值。（2）国际贸易中的进口商担心付汇时外汇汇率上升造成损失。</w:t>
      </w:r>
    </w:p>
    <w:p>
      <w:pPr>
        <w:spacing w:line="360" w:lineRule="auto"/>
        <w:ind w:firstLine="480" w:firstLineChars="200"/>
        <w:rPr>
          <w:rFonts w:ascii="仿宋" w:hAnsi="仿宋" w:cs="仿宋"/>
        </w:rPr>
      </w:pPr>
      <w:r>
        <w:rPr>
          <w:rFonts w:hint="eastAsia" w:ascii="仿宋" w:hAnsi="仿宋" w:cs="仿宋"/>
        </w:rPr>
        <w:t>3、交叉套期保值</w:t>
      </w:r>
    </w:p>
    <w:p>
      <w:pPr>
        <w:spacing w:line="360" w:lineRule="auto"/>
        <w:ind w:firstLine="480" w:firstLineChars="200"/>
        <w:rPr>
          <w:rFonts w:ascii="仿宋" w:hAnsi="仿宋"/>
          <w:bCs/>
          <w:kern w:val="0"/>
        </w:rPr>
      </w:pPr>
      <w:r>
        <w:rPr>
          <w:rFonts w:hint="eastAsia" w:ascii="仿宋" w:hAnsi="仿宋"/>
          <w:bCs/>
          <w:kern w:val="0"/>
        </w:rPr>
        <w:t>在国际外汇期货市场上，若需要回避两种非美元货币之间的汇率风险，就可以运用交叉货币套期保值。交叉套期保值（Cross Hedge）是指利用相关的两种外汇期货合约为一种外汇保值。</w:t>
      </w:r>
    </w:p>
    <w:p>
      <w:pPr>
        <w:spacing w:line="360" w:lineRule="auto"/>
        <w:ind w:firstLine="480" w:firstLineChars="200"/>
        <w:rPr>
          <w:rFonts w:ascii="仿宋" w:hAnsi="仿宋"/>
          <w:bCs/>
          <w:kern w:val="0"/>
        </w:rPr>
      </w:pPr>
      <w:r>
        <w:rPr>
          <w:rFonts w:hint="eastAsia" w:ascii="仿宋" w:hAnsi="仿宋"/>
          <w:bCs/>
          <w:kern w:val="0"/>
        </w:rPr>
        <w:t>进行交叉套期保值的关键是要把握以下两点：（1）正确选择承担保值任务的另外一种期货，只有相关程度高的品种，才是为手中持有的现汇进行保值的适当工具。（2）正确调整期货合约的数量，使其与被保值对象相匹配。</w:t>
      </w:r>
    </w:p>
    <w:p>
      <w:pPr>
        <w:pStyle w:val="4"/>
        <w:rPr>
          <w:szCs w:val="24"/>
        </w:rPr>
      </w:pPr>
      <w:bookmarkStart w:id="63" w:name="_Toc3896696"/>
      <w:r>
        <w:rPr>
          <w:rFonts w:hint="eastAsia"/>
          <w:szCs w:val="24"/>
        </w:rPr>
        <w:t>（三）外汇期货套利</w:t>
      </w:r>
      <w:bookmarkEnd w:id="63"/>
    </w:p>
    <w:p>
      <w:pPr>
        <w:spacing w:line="360" w:lineRule="auto"/>
        <w:ind w:firstLine="480" w:firstLineChars="200"/>
        <w:rPr>
          <w:rFonts w:ascii="仿宋" w:hAnsi="仿宋"/>
          <w:bCs/>
          <w:kern w:val="0"/>
        </w:rPr>
      </w:pPr>
      <w:r>
        <w:rPr>
          <w:rFonts w:hint="eastAsia" w:ascii="仿宋" w:hAnsi="仿宋"/>
          <w:bCs/>
          <w:kern w:val="0"/>
        </w:rPr>
        <w:t>外汇期货套利交易是指交易者根据不同市场、期限或币种间的理论性价差的异常波动，同时买进和卖出两种相关的外汇期货合约，以期价差朝有利方向变化后将手中合约同时对冲平仓而获利的交易行为。</w:t>
      </w:r>
    </w:p>
    <w:p>
      <w:pPr>
        <w:spacing w:line="360" w:lineRule="auto"/>
        <w:ind w:firstLine="480" w:firstLineChars="200"/>
        <w:rPr>
          <w:rFonts w:ascii="仿宋" w:hAnsi="仿宋"/>
          <w:bCs/>
          <w:kern w:val="0"/>
        </w:rPr>
      </w:pPr>
      <w:r>
        <w:rPr>
          <w:rFonts w:ascii="仿宋" w:hAnsi="仿宋"/>
          <w:bCs/>
          <w:kern w:val="0"/>
        </w:rPr>
        <w:t>1</w:t>
      </w:r>
      <w:r>
        <w:rPr>
          <w:rFonts w:hint="eastAsia" w:ascii="仿宋" w:hAnsi="仿宋"/>
          <w:bCs/>
          <w:kern w:val="0"/>
        </w:rPr>
        <w:t>、外汇期限套利</w:t>
      </w:r>
    </w:p>
    <w:p>
      <w:pPr>
        <w:spacing w:line="360" w:lineRule="auto"/>
        <w:ind w:firstLine="480" w:firstLineChars="200"/>
        <w:rPr>
          <w:rFonts w:ascii="仿宋" w:hAnsi="仿宋"/>
          <w:bCs/>
          <w:kern w:val="0"/>
        </w:rPr>
      </w:pPr>
      <w:r>
        <w:rPr>
          <w:rFonts w:hint="eastAsia" w:ascii="仿宋" w:hAnsi="仿宋"/>
          <w:bCs/>
          <w:kern w:val="0"/>
        </w:rPr>
        <w:t>外汇期限套利，即在外汇现货和期货中同时进行交易方向相反的交易，即通过卖出高估的外汇期货合约或现货，同时买入被低估的外汇期货合约或现货的方式来达到获利的目的。</w:t>
      </w:r>
    </w:p>
    <w:p>
      <w:pPr>
        <w:spacing w:line="360" w:lineRule="auto"/>
        <w:ind w:firstLine="480" w:firstLineChars="200"/>
        <w:rPr>
          <w:rFonts w:ascii="仿宋" w:hAnsi="仿宋"/>
          <w:bCs/>
          <w:kern w:val="0"/>
        </w:rPr>
      </w:pPr>
      <w:r>
        <w:rPr>
          <w:rFonts w:ascii="仿宋" w:hAnsi="仿宋"/>
          <w:bCs/>
          <w:kern w:val="0"/>
        </w:rPr>
        <w:t>2</w:t>
      </w:r>
      <w:r>
        <w:rPr>
          <w:rFonts w:hint="eastAsia" w:ascii="仿宋" w:hAnsi="仿宋"/>
          <w:bCs/>
          <w:kern w:val="0"/>
        </w:rPr>
        <w:t>、外汇期货跨期套利</w:t>
      </w:r>
    </w:p>
    <w:p>
      <w:pPr>
        <w:spacing w:line="360" w:lineRule="auto"/>
        <w:ind w:firstLine="480" w:firstLineChars="200"/>
        <w:rPr>
          <w:rFonts w:ascii="仿宋" w:hAnsi="仿宋"/>
          <w:bCs/>
          <w:kern w:val="0"/>
        </w:rPr>
      </w:pPr>
      <w:r>
        <w:rPr>
          <w:rFonts w:hint="eastAsia" w:ascii="仿宋" w:hAnsi="仿宋"/>
          <w:bCs/>
          <w:kern w:val="0"/>
        </w:rPr>
        <w:t>外汇期货跨期套利，是指交易者同时买入或卖出相同品种不同交割月份的外汇期货合约，以期合约间价差朝有利方向发展后平仓获利的交易行为。</w:t>
      </w:r>
    </w:p>
    <w:p>
      <w:pPr>
        <w:spacing w:line="360" w:lineRule="auto"/>
        <w:ind w:firstLine="480" w:firstLineChars="200"/>
        <w:rPr>
          <w:rFonts w:ascii="仿宋" w:hAnsi="仿宋"/>
          <w:bCs/>
          <w:kern w:val="0"/>
        </w:rPr>
      </w:pPr>
      <w:r>
        <w:rPr>
          <w:rFonts w:ascii="仿宋" w:hAnsi="仿宋"/>
          <w:bCs/>
          <w:kern w:val="0"/>
        </w:rPr>
        <w:t>3</w:t>
      </w:r>
      <w:r>
        <w:rPr>
          <w:rFonts w:hint="eastAsia" w:ascii="仿宋" w:hAnsi="仿宋"/>
          <w:bCs/>
          <w:kern w:val="0"/>
        </w:rPr>
        <w:t>、外汇期货跨币种套利</w:t>
      </w:r>
    </w:p>
    <w:p>
      <w:pPr>
        <w:spacing w:line="360" w:lineRule="auto"/>
        <w:ind w:firstLine="480" w:firstLineChars="200"/>
        <w:rPr>
          <w:rFonts w:ascii="仿宋" w:hAnsi="仿宋"/>
          <w:bCs/>
          <w:kern w:val="0"/>
        </w:rPr>
      </w:pPr>
      <w:r>
        <w:rPr>
          <w:rFonts w:hint="eastAsia" w:ascii="仿宋" w:hAnsi="仿宋"/>
          <w:bCs/>
          <w:kern w:val="0"/>
        </w:rPr>
        <w:t>外汇期货跨币种套利是指交易者根据对交割月份相同而比重不同的期货合约在某一交易所的价格走势的预测，买进某一币种的期货合约，同时卖出另一币种相同交割月份的期货合约，从而进行套利交易。</w:t>
      </w:r>
    </w:p>
    <w:p>
      <w:pPr>
        <w:spacing w:line="360" w:lineRule="auto"/>
        <w:ind w:firstLine="480" w:firstLineChars="200"/>
        <w:rPr>
          <w:rFonts w:ascii="仿宋" w:hAnsi="仿宋"/>
          <w:bCs/>
          <w:kern w:val="0"/>
        </w:rPr>
      </w:pPr>
      <w:r>
        <w:rPr>
          <w:rFonts w:ascii="仿宋" w:hAnsi="仿宋"/>
          <w:bCs/>
          <w:kern w:val="0"/>
        </w:rPr>
        <w:t>4</w:t>
      </w:r>
      <w:r>
        <w:rPr>
          <w:rFonts w:hint="eastAsia" w:ascii="仿宋" w:hAnsi="仿宋"/>
          <w:bCs/>
          <w:kern w:val="0"/>
        </w:rPr>
        <w:t>、外汇期货跨市场套利</w:t>
      </w:r>
    </w:p>
    <w:p>
      <w:pPr>
        <w:spacing w:line="360" w:lineRule="auto"/>
        <w:ind w:firstLine="480" w:firstLineChars="200"/>
        <w:rPr>
          <w:rFonts w:ascii="仿宋" w:hAnsi="仿宋"/>
          <w:bCs/>
          <w:kern w:val="0"/>
        </w:rPr>
      </w:pPr>
      <w:r>
        <w:rPr>
          <w:rFonts w:hint="eastAsia" w:ascii="仿宋" w:hAnsi="仿宋"/>
          <w:bCs/>
          <w:kern w:val="0"/>
        </w:rPr>
        <w:t>外汇期货跨市套利是指交易者根据对同一外汇期货合约在不同交易所的价格走势的预测，在一个交易所买入一种外汇期货合约，同时在另一个交易所卖出同种外汇期货合约，从而进行套利交易。</w:t>
      </w:r>
    </w:p>
    <w:p>
      <w:pPr>
        <w:pStyle w:val="4"/>
        <w:rPr>
          <w:szCs w:val="24"/>
        </w:rPr>
      </w:pPr>
      <w:bookmarkStart w:id="64" w:name="_Toc3896697"/>
      <w:r>
        <w:rPr>
          <w:rFonts w:hint="eastAsia"/>
          <w:szCs w:val="24"/>
        </w:rPr>
        <w:t>（四）外汇的掉期与互换</w:t>
      </w:r>
      <w:bookmarkEnd w:id="64"/>
    </w:p>
    <w:p>
      <w:pPr>
        <w:spacing w:line="360" w:lineRule="auto"/>
        <w:ind w:firstLine="480" w:firstLineChars="200"/>
        <w:rPr>
          <w:rFonts w:ascii="仿宋" w:hAnsi="仿宋"/>
          <w:bCs/>
          <w:kern w:val="0"/>
        </w:rPr>
      </w:pPr>
      <w:r>
        <w:rPr>
          <w:rFonts w:ascii="仿宋" w:hAnsi="仿宋"/>
          <w:bCs/>
          <w:kern w:val="0"/>
        </w:rPr>
        <w:t>1</w:t>
      </w:r>
      <w:r>
        <w:rPr>
          <w:rFonts w:hint="eastAsia" w:ascii="仿宋" w:hAnsi="仿宋"/>
          <w:bCs/>
          <w:kern w:val="0"/>
        </w:rPr>
        <w:t>、外汇掉期的定义</w:t>
      </w:r>
    </w:p>
    <w:p>
      <w:pPr>
        <w:spacing w:line="360" w:lineRule="auto"/>
        <w:ind w:firstLine="480" w:firstLineChars="200"/>
        <w:rPr>
          <w:rFonts w:ascii="仿宋" w:hAnsi="仿宋"/>
          <w:bCs/>
          <w:kern w:val="0"/>
        </w:rPr>
      </w:pPr>
      <w:r>
        <w:rPr>
          <w:rFonts w:hint="eastAsia" w:ascii="仿宋" w:hAnsi="仿宋"/>
          <w:bCs/>
          <w:kern w:val="0"/>
        </w:rPr>
        <w:t>外汇掉期（FX Swap）又被称为汇率掉期，指交易双方约定在前后两个不同的起息日（Value Date,货币收款或付款执行生效日）以约定的汇率进行方向相反的两次货币交换。</w:t>
      </w:r>
    </w:p>
    <w:p>
      <w:pPr>
        <w:ind w:firstLine="420"/>
        <w:rPr>
          <w:rFonts w:ascii="仿宋" w:hAnsi="仿宋"/>
          <w:bCs/>
          <w:kern w:val="0"/>
        </w:rPr>
      </w:pPr>
      <w:r>
        <w:rPr>
          <w:rFonts w:hint="eastAsia" w:ascii="仿宋" w:hAnsi="仿宋"/>
          <w:bCs/>
          <w:kern w:val="0"/>
        </w:rPr>
        <w:t>图1-2为外汇掉期简要示意图。甲与乙进行外汇掉期交易，欧元/美元的即期汇率为1.1120，三个月后远期汇率报价为1.1140。</w:t>
      </w:r>
    </w:p>
    <w:p/>
    <w:p>
      <w:r>
        <mc:AlternateContent>
          <mc:Choice Requires="wpg">
            <w:drawing>
              <wp:anchor distT="0" distB="0" distL="114300" distR="114300" simplePos="0" relativeHeight="251664384" behindDoc="0" locked="0" layoutInCell="1" allowOverlap="1">
                <wp:simplePos x="0" y="0"/>
                <wp:positionH relativeFrom="column">
                  <wp:posOffset>95250</wp:posOffset>
                </wp:positionH>
                <wp:positionV relativeFrom="paragraph">
                  <wp:posOffset>19685</wp:posOffset>
                </wp:positionV>
                <wp:extent cx="4827270" cy="1117600"/>
                <wp:effectExtent l="0" t="0" r="49530" b="25400"/>
                <wp:wrapNone/>
                <wp:docPr id="107" name="组合 107"/>
                <wp:cNvGraphicFramePr/>
                <a:graphic xmlns:a="http://schemas.openxmlformats.org/drawingml/2006/main">
                  <a:graphicData uri="http://schemas.microsoft.com/office/word/2010/wordprocessingGroup">
                    <wpg:wgp>
                      <wpg:cNvGrpSpPr/>
                      <wpg:grpSpPr>
                        <a:xfrm>
                          <a:off x="0" y="0"/>
                          <a:ext cx="4827270" cy="1117600"/>
                          <a:chOff x="0" y="0"/>
                          <a:chExt cx="4827270" cy="1117600"/>
                        </a:xfrm>
                      </wpg:grpSpPr>
                      <wps:wsp>
                        <wps:cNvPr id="108" name="直接箭头连接符 108"/>
                        <wps:cNvCnPr>
                          <a:cxnSpLocks noChangeShapeType="1"/>
                        </wps:cNvCnPr>
                        <wps:spPr bwMode="auto">
                          <a:xfrm flipV="1">
                            <a:off x="303530" y="567055"/>
                            <a:ext cx="4523740" cy="6350"/>
                          </a:xfrm>
                          <a:prstGeom prst="straightConnector1">
                            <a:avLst/>
                          </a:prstGeom>
                          <a:noFill/>
                          <a:ln w="9525">
                            <a:solidFill>
                              <a:srgbClr val="000000"/>
                            </a:solidFill>
                            <a:round/>
                            <a:tailEnd type="triangle" w="med" len="med"/>
                          </a:ln>
                        </wps:spPr>
                        <wps:bodyPr/>
                      </wps:wsp>
                      <wps:wsp>
                        <wps:cNvPr id="109" name="直接箭头连接符 109"/>
                        <wps:cNvCnPr>
                          <a:cxnSpLocks noChangeShapeType="1"/>
                        </wps:cNvCnPr>
                        <wps:spPr bwMode="auto">
                          <a:xfrm>
                            <a:off x="589915" y="329565"/>
                            <a:ext cx="635" cy="239395"/>
                          </a:xfrm>
                          <a:prstGeom prst="straightConnector1">
                            <a:avLst/>
                          </a:prstGeom>
                          <a:noFill/>
                          <a:ln w="9525">
                            <a:solidFill>
                              <a:srgbClr val="000000"/>
                            </a:solidFill>
                            <a:round/>
                          </a:ln>
                        </wps:spPr>
                        <wps:bodyPr/>
                      </wps:wsp>
                      <wps:wsp>
                        <wps:cNvPr id="110" name="直接箭头连接符 110"/>
                        <wps:cNvCnPr>
                          <a:cxnSpLocks noChangeShapeType="1"/>
                        </wps:cNvCnPr>
                        <wps:spPr bwMode="auto">
                          <a:xfrm>
                            <a:off x="3937000" y="329565"/>
                            <a:ext cx="6350" cy="239395"/>
                          </a:xfrm>
                          <a:prstGeom prst="straightConnector1">
                            <a:avLst/>
                          </a:prstGeom>
                          <a:noFill/>
                          <a:ln w="9525">
                            <a:solidFill>
                              <a:srgbClr val="000000"/>
                            </a:solidFill>
                            <a:round/>
                          </a:ln>
                        </wps:spPr>
                        <wps:bodyPr/>
                      </wps:wsp>
                      <wps:wsp>
                        <wps:cNvPr id="111" name="文本框 111"/>
                        <wps:cNvSpPr txBox="1">
                          <a:spLocks noChangeArrowheads="1"/>
                        </wps:cNvSpPr>
                        <wps:spPr bwMode="auto">
                          <a:xfrm>
                            <a:off x="32385" y="0"/>
                            <a:ext cx="1487170" cy="450850"/>
                          </a:xfrm>
                          <a:prstGeom prst="rect">
                            <a:avLst/>
                          </a:prstGeom>
                          <a:solidFill>
                            <a:srgbClr val="FFFFFF"/>
                          </a:solidFill>
                          <a:ln w="9525">
                            <a:solidFill>
                              <a:srgbClr val="000000"/>
                            </a:solidFill>
                            <a:miter lim="800000"/>
                          </a:ln>
                        </wps:spPr>
                        <wps:txbx>
                          <w:txbxContent>
                            <w:p>
                              <w:pPr>
                                <w:ind w:firstLine="300"/>
                                <w:rPr>
                                  <w:sz w:val="15"/>
                                  <w:szCs w:val="15"/>
                                </w:rPr>
                              </w:pPr>
                              <w:r>
                                <w:rPr>
                                  <w:rFonts w:hint="eastAsia"/>
                                  <w:sz w:val="15"/>
                                  <w:szCs w:val="15"/>
                                </w:rPr>
                                <w:t>甲：买入欧元，卖出美元</w:t>
                              </w:r>
                            </w:p>
                            <w:p>
                              <w:pPr>
                                <w:ind w:firstLine="300"/>
                                <w:rPr>
                                  <w:sz w:val="15"/>
                                  <w:szCs w:val="15"/>
                                </w:rPr>
                              </w:pPr>
                              <w:r>
                                <w:rPr>
                                  <w:rFonts w:hint="eastAsia"/>
                                  <w:sz w:val="15"/>
                                  <w:szCs w:val="15"/>
                                </w:rPr>
                                <w:t>即期汇率：1.1120</w:t>
                              </w:r>
                            </w:p>
                          </w:txbxContent>
                        </wps:txbx>
                        <wps:bodyPr rot="0" vert="horz" wrap="square" lIns="91440" tIns="45720" rIns="91440" bIns="45720" anchor="t" anchorCtr="0" upright="1">
                          <a:noAutofit/>
                        </wps:bodyPr>
                      </wps:wsp>
                      <wps:wsp>
                        <wps:cNvPr id="112" name="文本框 112"/>
                        <wps:cNvSpPr txBox="1">
                          <a:spLocks noChangeArrowheads="1"/>
                        </wps:cNvSpPr>
                        <wps:spPr bwMode="auto">
                          <a:xfrm>
                            <a:off x="3213100" y="0"/>
                            <a:ext cx="1461770" cy="492760"/>
                          </a:xfrm>
                          <a:prstGeom prst="rect">
                            <a:avLst/>
                          </a:prstGeom>
                          <a:solidFill>
                            <a:srgbClr val="FFFFFF"/>
                          </a:solidFill>
                          <a:ln w="9525">
                            <a:solidFill>
                              <a:srgbClr val="000000"/>
                            </a:solidFill>
                            <a:miter lim="800000"/>
                          </a:ln>
                        </wps:spPr>
                        <wps:txbx>
                          <w:txbxContent>
                            <w:p>
                              <w:pPr>
                                <w:ind w:firstLine="300"/>
                                <w:rPr>
                                  <w:sz w:val="15"/>
                                  <w:szCs w:val="15"/>
                                </w:rPr>
                              </w:pPr>
                              <w:r>
                                <w:rPr>
                                  <w:rFonts w:hint="eastAsia"/>
                                  <w:sz w:val="15"/>
                                  <w:szCs w:val="15"/>
                                </w:rPr>
                                <w:t>甲：卖出欧元，买入美元</w:t>
                              </w:r>
                            </w:p>
                            <w:p>
                              <w:pPr>
                                <w:ind w:firstLine="300"/>
                                <w:rPr>
                                  <w:sz w:val="15"/>
                                  <w:szCs w:val="15"/>
                                </w:rPr>
                              </w:pPr>
                              <w:r>
                                <w:rPr>
                                  <w:rFonts w:hint="eastAsia"/>
                                  <w:sz w:val="15"/>
                                  <w:szCs w:val="15"/>
                                </w:rPr>
                                <w:t>远期汇率：1.1140</w:t>
                              </w:r>
                            </w:p>
                          </w:txbxContent>
                        </wps:txbx>
                        <wps:bodyPr rot="0" vert="horz" wrap="square" lIns="91440" tIns="45720" rIns="91440" bIns="45720" anchor="t" anchorCtr="0" upright="1">
                          <a:noAutofit/>
                        </wps:bodyPr>
                      </wps:wsp>
                      <wps:wsp>
                        <wps:cNvPr id="113" name="文本框 113"/>
                        <wps:cNvSpPr txBox="1">
                          <a:spLocks noChangeArrowheads="1"/>
                        </wps:cNvSpPr>
                        <wps:spPr bwMode="auto">
                          <a:xfrm>
                            <a:off x="0" y="653415"/>
                            <a:ext cx="1327785" cy="461010"/>
                          </a:xfrm>
                          <a:prstGeom prst="rect">
                            <a:avLst/>
                          </a:prstGeom>
                          <a:solidFill>
                            <a:srgbClr val="FFFFFF"/>
                          </a:solidFill>
                          <a:ln w="9525">
                            <a:solidFill>
                              <a:srgbClr val="000000"/>
                            </a:solidFill>
                            <a:miter lim="800000"/>
                          </a:ln>
                        </wps:spPr>
                        <wps:txbx>
                          <w:txbxContent>
                            <w:p>
                              <w:pPr>
                                <w:ind w:firstLine="300"/>
                                <w:rPr>
                                  <w:sz w:val="15"/>
                                  <w:szCs w:val="15"/>
                                </w:rPr>
                              </w:pPr>
                              <w:r>
                                <w:rPr>
                                  <w:rFonts w:hint="eastAsia"/>
                                  <w:sz w:val="15"/>
                                  <w:szCs w:val="15"/>
                                </w:rPr>
                                <w:t>即期</w:t>
                              </w:r>
                            </w:p>
                            <w:p>
                              <w:r>
                                <w:rPr>
                                  <w:rFonts w:hint="eastAsia"/>
                                  <w:sz w:val="15"/>
                                  <w:szCs w:val="15"/>
                                </w:rPr>
                                <w:t>乙：买入美元，卖出欧元</w:t>
                              </w:r>
                            </w:p>
                          </w:txbxContent>
                        </wps:txbx>
                        <wps:bodyPr rot="0" vert="horz" wrap="square" lIns="91440" tIns="45720" rIns="91440" bIns="45720" anchor="t" anchorCtr="0" upright="1">
                          <a:noAutofit/>
                        </wps:bodyPr>
                      </wps:wsp>
                      <wps:wsp>
                        <wps:cNvPr id="114" name="文本框 114"/>
                        <wps:cNvSpPr txBox="1">
                          <a:spLocks noChangeArrowheads="1"/>
                        </wps:cNvSpPr>
                        <wps:spPr bwMode="auto">
                          <a:xfrm>
                            <a:off x="3096895" y="659765"/>
                            <a:ext cx="1654810" cy="457835"/>
                          </a:xfrm>
                          <a:prstGeom prst="rect">
                            <a:avLst/>
                          </a:prstGeom>
                          <a:solidFill>
                            <a:srgbClr val="FFFFFF"/>
                          </a:solidFill>
                          <a:ln w="9525">
                            <a:solidFill>
                              <a:srgbClr val="000000"/>
                            </a:solidFill>
                            <a:miter lim="800000"/>
                          </a:ln>
                        </wps:spPr>
                        <wps:txbx>
                          <w:txbxContent>
                            <w:p>
                              <w:pPr>
                                <w:ind w:firstLine="300"/>
                                <w:rPr>
                                  <w:sz w:val="15"/>
                                  <w:szCs w:val="15"/>
                                </w:rPr>
                              </w:pPr>
                              <w:r>
                                <w:rPr>
                                  <w:rFonts w:hint="eastAsia"/>
                                  <w:sz w:val="15"/>
                                  <w:szCs w:val="15"/>
                                </w:rPr>
                                <w:t>三个月后</w:t>
                              </w:r>
                            </w:p>
                            <w:p>
                              <w:pPr>
                                <w:ind w:firstLine="300"/>
                                <w:rPr>
                                  <w:sz w:val="15"/>
                                  <w:szCs w:val="15"/>
                                </w:rPr>
                              </w:pPr>
                              <w:r>
                                <w:rPr>
                                  <w:rFonts w:hint="eastAsia"/>
                                  <w:sz w:val="15"/>
                                  <w:szCs w:val="15"/>
                                </w:rPr>
                                <w:t>乙：买入欧元，卖出美元</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7.5pt;margin-top:1.55pt;height:88pt;width:380.1pt;z-index:251664384;mso-width-relative:page;mso-height-relative:page;" coordsize="4827270,1117600" o:gfxdata="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">
                <o:lock v:ext="edit" aspectratio="f"/>
                <v:shape id="_x0000_s1026" o:spid="_x0000_s1026" o:spt="32" type="#_x0000_t32" style="position:absolute;left:303530;top:567055;flip:y;height:6350;width:4523740;" filled="f" stroked="t" coordsize="21600,21600" o:gfxdata="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gICf6/&#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_x0000_s1026" o:spid="_x0000_s1026" o:spt="32" type="#_x0000_t32" style="position:absolute;left:589915;top:329565;height:239395;width:635;" filled="f" stroked="t" coordsize="21600,21600" o:gfxdata="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5mGC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_x0000_s1026" o:spid="_x0000_s1026" o:spt="32" type="#_x0000_t32" style="position:absolute;left:3937000;top:329565;height:239395;width:6350;" filled="f" stroked="t" coordsize="21600,21600" o:gfxdata="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mqcg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_x0000_s1026" o:spid="_x0000_s1026" o:spt="202" type="#_x0000_t202" style="position:absolute;left:32385;top:0;height:450850;width:1487170;" fillcolor="#FFFFFF" filled="t" stroked="t" coordsize="21600,21600" o:gfxdata="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UbCO2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ind w:firstLine="300"/>
                          <w:rPr>
                            <w:sz w:val="15"/>
                            <w:szCs w:val="15"/>
                          </w:rPr>
                        </w:pPr>
                        <w:r>
                          <w:rPr>
                            <w:rFonts w:hint="eastAsia"/>
                            <w:sz w:val="15"/>
                            <w:szCs w:val="15"/>
                          </w:rPr>
                          <w:t>甲：买入欧元，卖出美元</w:t>
                        </w:r>
                      </w:p>
                      <w:p>
                        <w:pPr>
                          <w:ind w:firstLine="300"/>
                          <w:rPr>
                            <w:sz w:val="15"/>
                            <w:szCs w:val="15"/>
                          </w:rPr>
                        </w:pPr>
                        <w:r>
                          <w:rPr>
                            <w:rFonts w:hint="eastAsia"/>
                            <w:sz w:val="15"/>
                            <w:szCs w:val="15"/>
                          </w:rPr>
                          <w:t>即期汇率：1.1120</w:t>
                        </w:r>
                      </w:p>
                    </w:txbxContent>
                  </v:textbox>
                </v:shape>
                <v:shape id="_x0000_s1026" o:spid="_x0000_s1026" o:spt="202" type="#_x0000_t202" style="position:absolute;left:3213100;top:0;height:492760;width:1461770;" fillcolor="#FFFFFF" filled="t" stroked="t" coordsize="21600,21600" o:gfxdata="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yZaa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ind w:firstLine="300"/>
                          <w:rPr>
                            <w:sz w:val="15"/>
                            <w:szCs w:val="15"/>
                          </w:rPr>
                        </w:pPr>
                        <w:r>
                          <w:rPr>
                            <w:rFonts w:hint="eastAsia"/>
                            <w:sz w:val="15"/>
                            <w:szCs w:val="15"/>
                          </w:rPr>
                          <w:t>甲：卖出欧元，买入美元</w:t>
                        </w:r>
                      </w:p>
                      <w:p>
                        <w:pPr>
                          <w:ind w:firstLine="300"/>
                          <w:rPr>
                            <w:sz w:val="15"/>
                            <w:szCs w:val="15"/>
                          </w:rPr>
                        </w:pPr>
                        <w:r>
                          <w:rPr>
                            <w:rFonts w:hint="eastAsia"/>
                            <w:sz w:val="15"/>
                            <w:szCs w:val="15"/>
                          </w:rPr>
                          <w:t>远期汇率：1.1140</w:t>
                        </w:r>
                      </w:p>
                    </w:txbxContent>
                  </v:textbox>
                </v:shape>
                <v:shape id="_x0000_s1026" o:spid="_x0000_s1026" o:spt="202" type="#_x0000_t202" style="position:absolute;left:0;top:653415;height:461010;width:1327785;" fillcolor="#FFFFFF" filled="t" stroked="t" coordsize="21600,21600" o:gfxdata="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qFMwG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ind w:firstLine="300"/>
                          <w:rPr>
                            <w:sz w:val="15"/>
                            <w:szCs w:val="15"/>
                          </w:rPr>
                        </w:pPr>
                        <w:r>
                          <w:rPr>
                            <w:rFonts w:hint="eastAsia"/>
                            <w:sz w:val="15"/>
                            <w:szCs w:val="15"/>
                          </w:rPr>
                          <w:t>即期</w:t>
                        </w:r>
                      </w:p>
                      <w:p>
                        <w:r>
                          <w:rPr>
                            <w:rFonts w:hint="eastAsia"/>
                            <w:sz w:val="15"/>
                            <w:szCs w:val="15"/>
                          </w:rPr>
                          <w:t>乙：买入美元，卖出欧元</w:t>
                        </w:r>
                      </w:p>
                    </w:txbxContent>
                  </v:textbox>
                </v:shape>
                <v:shape id="_x0000_s1026" o:spid="_x0000_s1026" o:spt="202" type="#_x0000_t202" style="position:absolute;left:3096895;top:659765;height:457835;width:1654810;" fillcolor="#FFFFFF" filled="t" stroked="t" coordsize="21600,21600" o:gfxdata="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Vsq3W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ind w:firstLine="300"/>
                          <w:rPr>
                            <w:sz w:val="15"/>
                            <w:szCs w:val="15"/>
                          </w:rPr>
                        </w:pPr>
                        <w:r>
                          <w:rPr>
                            <w:rFonts w:hint="eastAsia"/>
                            <w:sz w:val="15"/>
                            <w:szCs w:val="15"/>
                          </w:rPr>
                          <w:t>三个月后</w:t>
                        </w:r>
                      </w:p>
                      <w:p>
                        <w:pPr>
                          <w:ind w:firstLine="300"/>
                          <w:rPr>
                            <w:sz w:val="15"/>
                            <w:szCs w:val="15"/>
                          </w:rPr>
                        </w:pPr>
                        <w:r>
                          <w:rPr>
                            <w:rFonts w:hint="eastAsia"/>
                            <w:sz w:val="15"/>
                            <w:szCs w:val="15"/>
                          </w:rPr>
                          <w:t>乙：买入欧元，卖出美元</w:t>
                        </w:r>
                      </w:p>
                    </w:txbxContent>
                  </v:textbox>
                </v:shape>
              </v:group>
            </w:pict>
          </mc:Fallback>
        </mc:AlternateContent>
      </w:r>
    </w:p>
    <w:p/>
    <w:p/>
    <w:p/>
    <w:p/>
    <w:p/>
    <w:p/>
    <w:p>
      <w:pPr>
        <w:jc w:val="center"/>
      </w:pPr>
      <w:r>
        <w:rPr>
          <w:rFonts w:hint="eastAsia"/>
        </w:rPr>
        <w:t>图1-2    欧元/美元外汇掉期简要示意图</w:t>
      </w:r>
    </w:p>
    <w:p>
      <w:pPr>
        <w:jc w:val="center"/>
      </w:pPr>
    </w:p>
    <w:p>
      <w:pPr>
        <w:spacing w:line="360" w:lineRule="auto"/>
        <w:ind w:firstLine="480" w:firstLineChars="200"/>
        <w:rPr>
          <w:rFonts w:ascii="仿宋" w:hAnsi="仿宋"/>
          <w:bCs/>
          <w:kern w:val="0"/>
        </w:rPr>
      </w:pPr>
      <w:r>
        <w:rPr>
          <w:rFonts w:ascii="仿宋" w:hAnsi="仿宋"/>
          <w:bCs/>
          <w:kern w:val="0"/>
        </w:rPr>
        <w:t>2</w:t>
      </w:r>
      <w:r>
        <w:rPr>
          <w:rFonts w:hint="eastAsia" w:ascii="仿宋" w:hAnsi="仿宋"/>
          <w:bCs/>
          <w:kern w:val="0"/>
        </w:rPr>
        <w:t>、货币互换的定义</w:t>
      </w:r>
    </w:p>
    <w:p>
      <w:pPr>
        <w:spacing w:line="360" w:lineRule="auto"/>
        <w:ind w:firstLine="480" w:firstLineChars="200"/>
        <w:rPr>
          <w:rFonts w:ascii="仿宋" w:hAnsi="仿宋"/>
          <w:bCs/>
          <w:kern w:val="0"/>
        </w:rPr>
      </w:pPr>
      <w:r>
        <w:rPr>
          <w:rFonts w:hint="eastAsia" w:ascii="仿宋" w:hAnsi="仿宋"/>
          <w:bCs/>
          <w:kern w:val="0"/>
        </w:rPr>
        <w:t>货币互换（Currency Swap），是指在约定期限内的交换约定数量两种货币的本金，同时定期交换两种货币利息的交易。</w:t>
      </w:r>
    </w:p>
    <w:p>
      <w:pPr>
        <w:spacing w:line="360" w:lineRule="auto"/>
        <w:ind w:firstLine="480" w:firstLineChars="200"/>
        <w:rPr>
          <w:rFonts w:ascii="仿宋" w:hAnsi="仿宋"/>
          <w:bCs/>
          <w:kern w:val="0"/>
        </w:rPr>
      </w:pPr>
      <w:r>
        <w:rPr>
          <w:rFonts w:hint="eastAsia" w:ascii="仿宋" w:hAnsi="仿宋"/>
          <w:bCs/>
          <w:kern w:val="0"/>
        </w:rPr>
        <w:t>其中，本金交换的形式包括：（1）在协议生效日双方按约定汇率交换两种货币本金，在协议到期日双方再以相同的汇率、相同的金额进行一次本金的反向交换；（2）在协议生效日和到期日均不实际交换两种货币本金；（3）在协议生效日不实际交换两种货币本金、到期日实际交换本金；（4）主管部门规定的其他形式。</w:t>
      </w:r>
    </w:p>
    <w:p>
      <w:pPr>
        <w:pStyle w:val="4"/>
        <w:rPr>
          <w:szCs w:val="24"/>
        </w:rPr>
      </w:pPr>
      <w:bookmarkStart w:id="65" w:name="_Toc3896698"/>
      <w:r>
        <w:rPr>
          <w:rFonts w:hint="eastAsia"/>
          <w:szCs w:val="24"/>
        </w:rPr>
        <w:t>（五）外汇期权</w:t>
      </w:r>
      <w:bookmarkEnd w:id="65"/>
    </w:p>
    <w:p>
      <w:pPr>
        <w:spacing w:line="360" w:lineRule="auto"/>
        <w:ind w:firstLine="480" w:firstLineChars="200"/>
        <w:rPr>
          <w:rFonts w:ascii="仿宋" w:hAnsi="仿宋"/>
          <w:bCs/>
          <w:kern w:val="0"/>
        </w:rPr>
      </w:pPr>
      <w:r>
        <w:rPr>
          <w:rFonts w:hint="eastAsia" w:ascii="仿宋" w:hAnsi="仿宋"/>
          <w:bCs/>
          <w:kern w:val="0"/>
        </w:rPr>
        <w:t>外汇期权（FX Options）指交易买方向卖方支付一定费用后，所获得的在未来约定日期或一定时间内，按照约定汇率可以买进或者卖出一定数量外汇资产的选择权。</w:t>
      </w:r>
    </w:p>
    <w:p>
      <w:pPr>
        <w:spacing w:line="360" w:lineRule="auto"/>
        <w:rPr>
          <w:rFonts w:ascii="仿宋" w:hAnsi="仿宋"/>
          <w:bCs/>
          <w:kern w:val="0"/>
        </w:rPr>
      </w:pPr>
    </w:p>
    <w:p>
      <w:pPr>
        <w:pStyle w:val="3"/>
        <w:rPr>
          <w:sz w:val="24"/>
          <w:szCs w:val="24"/>
        </w:rPr>
      </w:pPr>
      <w:bookmarkStart w:id="66" w:name="_Toc3896699"/>
      <w:bookmarkStart w:id="67" w:name="_Toc445043875"/>
      <w:bookmarkStart w:id="68" w:name="_Toc402111936"/>
      <w:r>
        <w:rPr>
          <w:rFonts w:hint="eastAsia"/>
          <w:sz w:val="24"/>
          <w:szCs w:val="24"/>
        </w:rPr>
        <w:t>八、利率期货</w:t>
      </w:r>
      <w:bookmarkEnd w:id="66"/>
      <w:bookmarkEnd w:id="67"/>
      <w:bookmarkEnd w:id="68"/>
    </w:p>
    <w:p>
      <w:pPr>
        <w:pStyle w:val="4"/>
        <w:spacing w:before="0" w:after="0" w:line="360" w:lineRule="auto"/>
        <w:rPr>
          <w:rFonts w:ascii="仿宋" w:hAnsi="仿宋"/>
          <w:szCs w:val="24"/>
        </w:rPr>
      </w:pPr>
      <w:bookmarkStart w:id="69" w:name="_Toc445043876"/>
      <w:bookmarkStart w:id="70" w:name="_Toc402111937"/>
      <w:bookmarkStart w:id="71" w:name="_Toc3896700"/>
      <w:r>
        <w:rPr>
          <w:rFonts w:hint="eastAsia" w:ascii="仿宋" w:hAnsi="仿宋"/>
          <w:szCs w:val="24"/>
        </w:rPr>
        <w:t>（一）利率期货</w:t>
      </w:r>
      <w:bookmarkEnd w:id="69"/>
      <w:bookmarkEnd w:id="70"/>
      <w:r>
        <w:rPr>
          <w:rFonts w:hint="eastAsia" w:ascii="仿宋" w:hAnsi="仿宋"/>
          <w:szCs w:val="24"/>
        </w:rPr>
        <w:t>的影响因素</w:t>
      </w:r>
      <w:bookmarkEnd w:id="71"/>
    </w:p>
    <w:p>
      <w:pPr>
        <w:spacing w:line="360" w:lineRule="auto"/>
        <w:ind w:firstLine="480" w:firstLineChars="200"/>
        <w:rPr>
          <w:rFonts w:ascii="仿宋" w:hAnsi="仿宋"/>
          <w:bCs/>
          <w:kern w:val="0"/>
        </w:rPr>
      </w:pPr>
      <w:r>
        <w:rPr>
          <w:rFonts w:hint="eastAsia" w:ascii="仿宋" w:hAnsi="仿宋"/>
          <w:bCs/>
          <w:kern w:val="0"/>
        </w:rPr>
        <w:t>以银行间拆放的货币资金、短期存单和债券等利率类金融工具为期货合约交易标的物的期货品种称为利率期货（</w:t>
      </w:r>
      <w:r>
        <w:rPr>
          <w:rFonts w:ascii="仿宋" w:hAnsi="仿宋"/>
          <w:bCs/>
          <w:kern w:val="0"/>
        </w:rPr>
        <w:t>Interest Rate Futures）。投资者可以通过利率期货对</w:t>
      </w:r>
      <w:r>
        <w:rPr>
          <w:rFonts w:hint="eastAsia" w:ascii="仿宋" w:hAnsi="仿宋"/>
          <w:bCs/>
          <w:kern w:val="0"/>
        </w:rPr>
        <w:t>冲利率风险。</w:t>
      </w:r>
    </w:p>
    <w:p>
      <w:pPr>
        <w:spacing w:line="360" w:lineRule="auto"/>
        <w:ind w:firstLine="480" w:firstLineChars="200"/>
        <w:rPr>
          <w:rFonts w:ascii="仿宋" w:hAnsi="仿宋"/>
          <w:bCs/>
          <w:kern w:val="0"/>
        </w:rPr>
      </w:pPr>
      <w:r>
        <w:rPr>
          <w:rFonts w:hint="eastAsia" w:ascii="仿宋" w:hAnsi="仿宋"/>
          <w:bCs/>
          <w:kern w:val="0"/>
        </w:rPr>
        <w:t>根据利率期货合约标的期限的不同，利率期货分为短期利率期货和中长期利率期货两类。</w:t>
      </w:r>
    </w:p>
    <w:p>
      <w:pPr>
        <w:spacing w:line="360" w:lineRule="auto"/>
        <w:ind w:firstLine="480" w:firstLineChars="200"/>
        <w:rPr>
          <w:rFonts w:ascii="仿宋" w:hAnsi="仿宋"/>
          <w:bCs/>
          <w:kern w:val="0"/>
        </w:rPr>
      </w:pPr>
      <w:r>
        <w:rPr>
          <w:rFonts w:hint="eastAsia" w:ascii="仿宋" w:hAnsi="仿宋"/>
          <w:bCs/>
          <w:kern w:val="0"/>
        </w:rPr>
        <w:t>短期利率期货合约的标的主要有资金市场利率工具、短期债券、存单等，期限不超过一年，一般采用现金交割。中长期利率期货合约的标的主要为各国政府发行的中长期债券，期限在</w:t>
      </w:r>
      <w:r>
        <w:rPr>
          <w:rFonts w:ascii="仿宋" w:hAnsi="仿宋"/>
          <w:bCs/>
          <w:kern w:val="0"/>
        </w:rPr>
        <w:t>1年以上，一般采用实物交割。</w:t>
      </w:r>
    </w:p>
    <w:p>
      <w:pPr>
        <w:spacing w:line="360" w:lineRule="auto"/>
        <w:ind w:firstLine="480" w:firstLineChars="200"/>
        <w:rPr>
          <w:rFonts w:ascii="仿宋" w:hAnsi="仿宋"/>
          <w:bCs/>
          <w:kern w:val="0"/>
        </w:rPr>
      </w:pPr>
      <w:r>
        <w:rPr>
          <w:rFonts w:hint="eastAsia" w:ascii="仿宋" w:hAnsi="仿宋"/>
          <w:bCs/>
          <w:kern w:val="0"/>
        </w:rPr>
        <w:t>通常利率期货价格和市场利率呈反方向变动，准确地分析和预测市场利率的变化对于投资者分析利率期货价格的走势和波动至关重要。影响市场利率以及利率期货价格的主要因素有财政政策、货币政策、汇率政策等政策因素、经济周期、通货膨胀率、经济运行状况、全球主要经济体利率水平，其他因素包括人们对经济形势的预期、消费者收入水平、消费者信贷等因素也在一定程度上影响市场利率及利率期货价格。</w:t>
      </w:r>
    </w:p>
    <w:p>
      <w:pPr>
        <w:spacing w:line="360" w:lineRule="auto"/>
        <w:ind w:firstLine="480" w:firstLineChars="200"/>
        <w:rPr>
          <w:rFonts w:ascii="仿宋" w:hAnsi="仿宋"/>
          <w:bCs/>
          <w:kern w:val="0"/>
        </w:rPr>
      </w:pPr>
    </w:p>
    <w:p>
      <w:pPr>
        <w:pStyle w:val="4"/>
        <w:spacing w:before="0" w:after="0" w:line="360" w:lineRule="auto"/>
        <w:rPr>
          <w:rFonts w:ascii="仿宋" w:hAnsi="仿宋"/>
          <w:szCs w:val="24"/>
        </w:rPr>
      </w:pPr>
      <w:bookmarkStart w:id="72" w:name="_Toc402111938"/>
      <w:bookmarkStart w:id="73" w:name="_Toc445043877"/>
      <w:bookmarkStart w:id="74" w:name="_Toc3896701"/>
      <w:r>
        <w:rPr>
          <w:rFonts w:hint="eastAsia" w:ascii="仿宋" w:hAnsi="仿宋"/>
          <w:szCs w:val="24"/>
        </w:rPr>
        <w:t>（二）</w:t>
      </w:r>
      <w:bookmarkEnd w:id="72"/>
      <w:bookmarkEnd w:id="73"/>
      <w:r>
        <w:rPr>
          <w:rFonts w:hint="eastAsia"/>
          <w:szCs w:val="24"/>
        </w:rPr>
        <w:t>国债期货及其应用</w:t>
      </w:r>
      <w:bookmarkEnd w:id="74"/>
    </w:p>
    <w:p>
      <w:pPr>
        <w:spacing w:line="360" w:lineRule="auto"/>
        <w:ind w:firstLine="480" w:firstLineChars="200"/>
        <w:rPr>
          <w:rFonts w:ascii="仿宋" w:hAnsi="仿宋"/>
          <w:bCs/>
          <w:kern w:val="0"/>
        </w:rPr>
      </w:pPr>
      <w:bookmarkStart w:id="75" w:name="_Toc276333961"/>
      <w:r>
        <w:rPr>
          <w:rFonts w:ascii="仿宋" w:hAnsi="仿宋"/>
          <w:bCs/>
          <w:kern w:val="0"/>
        </w:rPr>
        <w:t>1</w:t>
      </w:r>
      <w:r>
        <w:rPr>
          <w:rFonts w:hint="eastAsia" w:ascii="仿宋" w:hAnsi="仿宋"/>
          <w:bCs/>
          <w:kern w:val="0"/>
        </w:rPr>
        <w:t>、</w:t>
      </w:r>
      <w:r>
        <w:rPr>
          <w:rFonts w:ascii="仿宋" w:hAnsi="仿宋"/>
          <w:bCs/>
          <w:kern w:val="0"/>
        </w:rPr>
        <w:t>套期保值策略</w:t>
      </w:r>
    </w:p>
    <w:p>
      <w:pPr>
        <w:spacing w:line="360" w:lineRule="auto"/>
        <w:ind w:firstLine="480" w:firstLineChars="200"/>
        <w:rPr>
          <w:rFonts w:ascii="仿宋" w:hAnsi="仿宋"/>
          <w:bCs/>
          <w:kern w:val="0"/>
        </w:rPr>
      </w:pPr>
      <w:r>
        <w:rPr>
          <w:rFonts w:ascii="仿宋" w:hAnsi="仿宋"/>
          <w:bCs/>
          <w:kern w:val="0"/>
        </w:rPr>
        <w:t xml:space="preserve"> 投资者可利用利率期货套期保值交易策略对</w:t>
      </w:r>
      <w:r>
        <w:rPr>
          <w:rFonts w:hint="eastAsia" w:ascii="仿宋" w:hAnsi="仿宋"/>
          <w:bCs/>
          <w:kern w:val="0"/>
        </w:rPr>
        <w:t>冲利率风险。利率期货套期保值策略分为卖出套期保值、买入套期保值和交叉套期保值三大类。</w:t>
      </w:r>
    </w:p>
    <w:p>
      <w:pPr>
        <w:spacing w:line="360" w:lineRule="auto"/>
        <w:ind w:firstLine="480" w:firstLineChars="200"/>
        <w:rPr>
          <w:rFonts w:ascii="仿宋" w:hAnsi="仿宋"/>
          <w:bCs/>
          <w:kern w:val="0"/>
        </w:rPr>
      </w:pPr>
      <w:r>
        <w:rPr>
          <w:rFonts w:ascii="仿宋" w:hAnsi="仿宋"/>
          <w:bCs/>
          <w:kern w:val="0"/>
        </w:rPr>
        <w:t xml:space="preserve"> 利率期货卖出套期保值可用来对冲市场利率上升的风险；利率期货买入套期保值者可用来对冲市场利率下降的风险。</w:t>
      </w:r>
    </w:p>
    <w:p>
      <w:pPr>
        <w:spacing w:line="360" w:lineRule="auto"/>
        <w:ind w:firstLine="480" w:firstLineChars="200"/>
        <w:rPr>
          <w:rFonts w:ascii="仿宋" w:hAnsi="仿宋"/>
          <w:bCs/>
          <w:kern w:val="0"/>
        </w:rPr>
      </w:pPr>
      <w:r>
        <w:rPr>
          <w:rFonts w:ascii="仿宋" w:hAnsi="仿宋"/>
          <w:bCs/>
          <w:kern w:val="0"/>
        </w:rPr>
        <w:t xml:space="preserve"> 由于利率期货市场上标的资产的种类繁多，因此交叉套期保值</w:t>
      </w:r>
      <w:r>
        <w:rPr>
          <w:rFonts w:hint="eastAsia" w:ascii="仿宋" w:hAnsi="仿宋"/>
          <w:bCs/>
          <w:kern w:val="0"/>
        </w:rPr>
        <w:t>更为常见。只要用于保值的和被保值的金融工具的风险水平、息票率、到期日不同，亦或被保值的金融工具和可用于交割的期货合约标的物所跨越的时间不同，都可以称为“交叉套期保值”。</w:t>
      </w:r>
      <w:r>
        <w:rPr>
          <w:rFonts w:ascii="仿宋" w:hAnsi="仿宋"/>
          <w:bCs/>
          <w:kern w:val="0"/>
        </w:rPr>
        <w:t xml:space="preserve"> </w:t>
      </w:r>
    </w:p>
    <w:p>
      <w:pPr>
        <w:spacing w:line="360" w:lineRule="auto"/>
        <w:ind w:firstLine="480" w:firstLineChars="200"/>
        <w:rPr>
          <w:rFonts w:ascii="仿宋" w:hAnsi="仿宋"/>
          <w:bCs/>
          <w:kern w:val="0"/>
        </w:rPr>
      </w:pPr>
      <w:r>
        <w:rPr>
          <w:rFonts w:ascii="仿宋" w:hAnsi="仿宋"/>
          <w:bCs/>
          <w:kern w:val="0"/>
        </w:rPr>
        <w:t xml:space="preserve"> 套期保值比率</w:t>
      </w:r>
      <w:r>
        <w:rPr>
          <w:rFonts w:hint="eastAsia" w:ascii="仿宋" w:hAnsi="仿宋"/>
          <w:bCs/>
          <w:kern w:val="0"/>
        </w:rPr>
        <w:t>即</w:t>
      </w:r>
      <w:r>
        <w:fldChar w:fldCharType="begin"/>
      </w:r>
      <w:r>
        <w:instrText xml:space="preserve"> HYPERLINK "http://wiki.mbalib.com/wiki/å¥æä¿å¼è" \o "套期保值者" </w:instrText>
      </w:r>
      <w:r>
        <w:fldChar w:fldCharType="separate"/>
      </w:r>
      <w:r>
        <w:rPr>
          <w:rFonts w:hint="eastAsia" w:ascii="仿宋" w:hAnsi="仿宋"/>
          <w:bCs/>
          <w:kern w:val="0"/>
        </w:rPr>
        <w:t>套期保值者</w:t>
      </w:r>
      <w:r>
        <w:rPr>
          <w:rFonts w:hint="eastAsia" w:ascii="仿宋" w:hAnsi="仿宋"/>
          <w:bCs/>
          <w:kern w:val="0"/>
        </w:rPr>
        <w:fldChar w:fldCharType="end"/>
      </w:r>
      <w:r>
        <w:rPr>
          <w:rFonts w:hint="eastAsia" w:ascii="仿宋" w:hAnsi="仿宋"/>
          <w:bCs/>
          <w:kern w:val="0"/>
        </w:rPr>
        <w:t>在建立交易</w:t>
      </w:r>
      <w:r>
        <w:fldChar w:fldCharType="begin"/>
      </w:r>
      <w:r>
        <w:instrText xml:space="preserve"> HYPERLINK "http://wiki.mbalib.com/wiki/å¤´å¯¸" \o "头寸" </w:instrText>
      </w:r>
      <w:r>
        <w:fldChar w:fldCharType="separate"/>
      </w:r>
      <w:r>
        <w:rPr>
          <w:rFonts w:hint="eastAsia" w:ascii="仿宋" w:hAnsi="仿宋"/>
          <w:bCs/>
          <w:kern w:val="0"/>
        </w:rPr>
        <w:t>头寸</w:t>
      </w:r>
      <w:r>
        <w:rPr>
          <w:rFonts w:hint="eastAsia" w:ascii="仿宋" w:hAnsi="仿宋"/>
          <w:bCs/>
          <w:kern w:val="0"/>
        </w:rPr>
        <w:fldChar w:fldCharType="end"/>
      </w:r>
      <w:r>
        <w:rPr>
          <w:rFonts w:hint="eastAsia" w:ascii="仿宋" w:hAnsi="仿宋"/>
          <w:bCs/>
          <w:kern w:val="0"/>
        </w:rPr>
        <w:t>时所确定的</w:t>
      </w:r>
      <w:r>
        <w:fldChar w:fldCharType="begin"/>
      </w:r>
      <w:r>
        <w:instrText xml:space="preserve"> HYPERLINK "http://wiki.mbalib.com/wiki/æè´§åçº¦" \o "期货合约" </w:instrText>
      </w:r>
      <w:r>
        <w:fldChar w:fldCharType="separate"/>
      </w:r>
      <w:r>
        <w:rPr>
          <w:rFonts w:hint="eastAsia" w:ascii="仿宋" w:hAnsi="仿宋"/>
          <w:bCs/>
          <w:kern w:val="0"/>
        </w:rPr>
        <w:t>期货合约</w:t>
      </w:r>
      <w:r>
        <w:rPr>
          <w:rFonts w:hint="eastAsia" w:ascii="仿宋" w:hAnsi="仿宋"/>
          <w:bCs/>
          <w:kern w:val="0"/>
        </w:rPr>
        <w:fldChar w:fldCharType="end"/>
      </w:r>
      <w:r>
        <w:rPr>
          <w:rFonts w:hint="eastAsia" w:ascii="仿宋" w:hAnsi="仿宋"/>
          <w:bCs/>
          <w:kern w:val="0"/>
        </w:rPr>
        <w:t>的总价值与所</w:t>
      </w:r>
      <w:r>
        <w:fldChar w:fldCharType="begin"/>
      </w:r>
      <w:r>
        <w:instrText xml:space="preserve"> HYPERLINK "http://wiki.mbalib.com/wiki/ä¿å¼" \o "保值" </w:instrText>
      </w:r>
      <w:r>
        <w:fldChar w:fldCharType="separate"/>
      </w:r>
      <w:r>
        <w:rPr>
          <w:rFonts w:hint="eastAsia" w:ascii="仿宋" w:hAnsi="仿宋"/>
          <w:bCs/>
          <w:kern w:val="0"/>
        </w:rPr>
        <w:t>保值</w:t>
      </w:r>
      <w:r>
        <w:rPr>
          <w:rFonts w:hint="eastAsia" w:ascii="仿宋" w:hAnsi="仿宋"/>
          <w:bCs/>
          <w:kern w:val="0"/>
        </w:rPr>
        <w:fldChar w:fldCharType="end"/>
      </w:r>
      <w:r>
        <w:rPr>
          <w:rFonts w:hint="eastAsia" w:ascii="仿宋" w:hAnsi="仿宋"/>
          <w:bCs/>
          <w:kern w:val="0"/>
        </w:rPr>
        <w:t>的现货合同总价值之间的比率。在利率期货套期保值方案设计中，确定合适的套期保值比率是减少</w:t>
      </w:r>
      <w:r>
        <w:fldChar w:fldCharType="begin"/>
      </w:r>
      <w:r>
        <w:instrText xml:space="preserve"> HYPERLINK "http://wiki.mbalib.com/wiki/äº¤åå¥æä¿å¼" \o "交叉套期保值" </w:instrText>
      </w:r>
      <w:r>
        <w:fldChar w:fldCharType="separate"/>
      </w:r>
      <w:r>
        <w:rPr>
          <w:rFonts w:hint="eastAsia" w:ascii="仿宋" w:hAnsi="仿宋"/>
          <w:bCs/>
          <w:kern w:val="0"/>
        </w:rPr>
        <w:t>套期保值</w:t>
      </w:r>
      <w:r>
        <w:rPr>
          <w:rFonts w:hint="eastAsia" w:ascii="仿宋" w:hAnsi="仿宋"/>
          <w:bCs/>
          <w:kern w:val="0"/>
        </w:rPr>
        <w:fldChar w:fldCharType="end"/>
      </w:r>
      <w:r>
        <w:rPr>
          <w:rFonts w:hint="eastAsia" w:ascii="仿宋" w:hAnsi="仿宋"/>
          <w:bCs/>
          <w:kern w:val="0"/>
        </w:rPr>
        <w:t>风险，达到最佳</w:t>
      </w:r>
      <w:r>
        <w:fldChar w:fldCharType="begin"/>
      </w:r>
      <w:r>
        <w:instrText xml:space="preserve"> HYPERLINK "http://wiki.mbalib.com/wiki/å¥æä¿å¼" \o "套期保值" </w:instrText>
      </w:r>
      <w:r>
        <w:fldChar w:fldCharType="separate"/>
      </w:r>
      <w:r>
        <w:rPr>
          <w:rFonts w:hint="eastAsia" w:ascii="仿宋" w:hAnsi="仿宋"/>
          <w:bCs/>
          <w:kern w:val="0"/>
        </w:rPr>
        <w:t>套期保值</w:t>
      </w:r>
      <w:r>
        <w:rPr>
          <w:rFonts w:hint="eastAsia" w:ascii="仿宋" w:hAnsi="仿宋"/>
          <w:bCs/>
          <w:kern w:val="0"/>
        </w:rPr>
        <w:fldChar w:fldCharType="end"/>
      </w:r>
      <w:r>
        <w:rPr>
          <w:rFonts w:hint="eastAsia" w:ascii="仿宋" w:hAnsi="仿宋"/>
          <w:bCs/>
          <w:kern w:val="0"/>
        </w:rPr>
        <w:t>效果的关键。</w:t>
      </w:r>
    </w:p>
    <w:p>
      <w:pPr>
        <w:spacing w:line="360" w:lineRule="auto"/>
        <w:ind w:firstLine="480" w:firstLineChars="200"/>
        <w:rPr>
          <w:rFonts w:ascii="仿宋" w:hAnsi="仿宋"/>
          <w:bCs/>
          <w:kern w:val="0"/>
        </w:rPr>
      </w:pPr>
      <w:r>
        <w:rPr>
          <w:rFonts w:ascii="仿宋" w:hAnsi="仿宋"/>
          <w:bCs/>
          <w:kern w:val="0"/>
        </w:rPr>
        <w:t xml:space="preserve"> 确定利率期货套期保值比率最重要的因素是套期保值债券与</w:t>
      </w:r>
      <w:r>
        <w:fldChar w:fldCharType="begin"/>
      </w:r>
      <w:r>
        <w:instrText xml:space="preserve"> HYPERLINK "http://wiki.mbalib.com/wiki/å©çæè´§åçº¦" \o "利率期货合约" </w:instrText>
      </w:r>
      <w:r>
        <w:fldChar w:fldCharType="separate"/>
      </w:r>
      <w:r>
        <w:rPr>
          <w:rFonts w:hint="eastAsia" w:ascii="仿宋" w:hAnsi="仿宋"/>
          <w:bCs/>
          <w:kern w:val="0"/>
        </w:rPr>
        <w:t>利率期货合约</w:t>
      </w:r>
      <w:r>
        <w:rPr>
          <w:rFonts w:hint="eastAsia" w:ascii="仿宋" w:hAnsi="仿宋"/>
          <w:bCs/>
          <w:kern w:val="0"/>
        </w:rPr>
        <w:fldChar w:fldCharType="end"/>
      </w:r>
      <w:r>
        <w:rPr>
          <w:rFonts w:hint="eastAsia" w:ascii="仿宋" w:hAnsi="仿宋"/>
          <w:bCs/>
          <w:kern w:val="0"/>
        </w:rPr>
        <w:t>波动的计算。在债券价格分析中，衡量债券波动性的指标主要有修正</w:t>
      </w:r>
      <w:r>
        <w:fldChar w:fldCharType="begin"/>
      </w:r>
      <w:r>
        <w:instrText xml:space="preserve"> HYPERLINK "http://wiki.mbalib.com/wiki/ä¹æ" \o "久期" </w:instrText>
      </w:r>
      <w:r>
        <w:fldChar w:fldCharType="separate"/>
      </w:r>
      <w:r>
        <w:rPr>
          <w:rFonts w:hint="eastAsia" w:ascii="仿宋" w:hAnsi="仿宋"/>
          <w:bCs/>
          <w:kern w:val="0"/>
        </w:rPr>
        <w:t>久期</w:t>
      </w:r>
      <w:r>
        <w:rPr>
          <w:rFonts w:hint="eastAsia" w:ascii="仿宋" w:hAnsi="仿宋"/>
          <w:bCs/>
          <w:kern w:val="0"/>
        </w:rPr>
        <w:fldChar w:fldCharType="end"/>
      </w:r>
      <w:r>
        <w:rPr>
          <w:rFonts w:hint="eastAsia" w:ascii="仿宋" w:hAnsi="仿宋"/>
          <w:bCs/>
          <w:kern w:val="0"/>
        </w:rPr>
        <w:t>和基点价值，债券的修正</w:t>
      </w:r>
      <w:r>
        <w:fldChar w:fldCharType="begin"/>
      </w:r>
      <w:r>
        <w:instrText xml:space="preserve"> HYPERLINK "http://wiki.mbalib.com/wiki/ä¹æ" \o "久期" </w:instrText>
      </w:r>
      <w:r>
        <w:fldChar w:fldCharType="separate"/>
      </w:r>
      <w:r>
        <w:rPr>
          <w:rFonts w:hint="eastAsia" w:ascii="仿宋" w:hAnsi="仿宋"/>
          <w:bCs/>
          <w:kern w:val="0"/>
        </w:rPr>
        <w:t>久期</w:t>
      </w:r>
      <w:r>
        <w:rPr>
          <w:rFonts w:hint="eastAsia" w:ascii="仿宋" w:hAnsi="仿宋"/>
          <w:bCs/>
          <w:kern w:val="0"/>
        </w:rPr>
        <w:fldChar w:fldCharType="end"/>
      </w:r>
      <w:r>
        <w:rPr>
          <w:rFonts w:hint="eastAsia" w:ascii="仿宋" w:hAnsi="仿宋"/>
          <w:bCs/>
          <w:kern w:val="0"/>
        </w:rPr>
        <w:t>和基点价值越大，其易变性越大，债券价格对利率变化越敏感。利率期货套期保值比率的计算方法比较典型的方法有修正久期</w:t>
      </w:r>
      <w:r>
        <w:rPr>
          <w:rFonts w:ascii="仿宋" w:hAnsi="仿宋"/>
          <w:bCs/>
          <w:kern w:val="0"/>
        </w:rPr>
        <w:t xml:space="preserve">(duration)法和基点价值法。 </w:t>
      </w:r>
    </w:p>
    <w:p>
      <w:pPr>
        <w:spacing w:line="360" w:lineRule="auto"/>
        <w:ind w:firstLine="480" w:firstLineChars="200"/>
        <w:rPr>
          <w:rFonts w:ascii="仿宋" w:hAnsi="仿宋"/>
          <w:bCs/>
          <w:kern w:val="0"/>
        </w:rPr>
      </w:pPr>
      <w:r>
        <w:rPr>
          <w:rFonts w:ascii="仿宋" w:hAnsi="仿宋"/>
          <w:bCs/>
          <w:kern w:val="0"/>
        </w:rPr>
        <w:t>2</w:t>
      </w:r>
      <w:r>
        <w:rPr>
          <w:rFonts w:hint="eastAsia" w:ascii="仿宋" w:hAnsi="仿宋"/>
          <w:bCs/>
          <w:kern w:val="0"/>
        </w:rPr>
        <w:t>、</w:t>
      </w:r>
      <w:r>
        <w:rPr>
          <w:rFonts w:ascii="仿宋" w:hAnsi="仿宋"/>
          <w:bCs/>
          <w:kern w:val="0"/>
        </w:rPr>
        <w:t>投机与套利策略</w:t>
      </w:r>
    </w:p>
    <w:p>
      <w:pPr>
        <w:spacing w:line="360" w:lineRule="auto"/>
        <w:ind w:firstLine="480" w:firstLineChars="200"/>
        <w:rPr>
          <w:rFonts w:ascii="仿宋" w:hAnsi="仿宋"/>
          <w:bCs/>
          <w:kern w:val="0"/>
        </w:rPr>
      </w:pPr>
      <w:r>
        <w:rPr>
          <w:rFonts w:ascii="仿宋" w:hAnsi="仿宋"/>
          <w:bCs/>
          <w:kern w:val="0"/>
        </w:rPr>
        <w:t>利率期货投机策略是指通过买卖利率期货合约，持有多头或空头头寸，期待从利率期货价格变动中博取风险收益。</w:t>
      </w:r>
      <w:bookmarkEnd w:id="75"/>
      <w:bookmarkStart w:id="76" w:name="_Toc276333962"/>
      <w:r>
        <w:rPr>
          <w:rFonts w:hint="eastAsia" w:ascii="仿宋" w:hAnsi="仿宋"/>
          <w:bCs/>
          <w:kern w:val="0"/>
        </w:rPr>
        <w:t>利率期货套利策略包括期货合约间套利策略和期现套利策略两大类，投资者期待在期货合约间价差和期现货价差变动中博取风险收益。</w:t>
      </w:r>
      <w:bookmarkEnd w:id="76"/>
    </w:p>
    <w:p>
      <w:pPr>
        <w:spacing w:line="360" w:lineRule="auto"/>
        <w:ind w:firstLine="480" w:firstLineChars="200"/>
        <w:rPr>
          <w:rFonts w:ascii="仿宋" w:hAnsi="仿宋"/>
          <w:bCs/>
          <w:kern w:val="0"/>
        </w:rPr>
      </w:pPr>
      <w:r>
        <w:rPr>
          <w:rFonts w:hint="eastAsia" w:ascii="仿宋" w:hAnsi="仿宋"/>
          <w:bCs/>
          <w:kern w:val="0"/>
        </w:rPr>
        <w:t>在国债期现套利中，常用的是基于国债基差变化的期现套利策略。投资者可利用可交割现券和国债期货之间的预期变化，在国债现券和国债期货市场上同时进行交易。</w:t>
      </w:r>
    </w:p>
    <w:p>
      <w:pPr>
        <w:spacing w:line="360" w:lineRule="auto"/>
        <w:ind w:firstLine="480" w:firstLineChars="200"/>
        <w:rPr>
          <w:rFonts w:ascii="仿宋" w:hAnsi="仿宋"/>
          <w:bCs/>
          <w:kern w:val="0"/>
        </w:rPr>
      </w:pPr>
      <w:r>
        <w:rPr>
          <w:rFonts w:ascii="仿宋" w:hAnsi="仿宋"/>
          <w:bCs/>
          <w:kern w:val="0"/>
        </w:rPr>
        <w:t>1）买入基差（</w:t>
      </w:r>
      <w:r>
        <w:rPr>
          <w:rFonts w:hint="eastAsia" w:ascii="仿宋" w:hAnsi="仿宋"/>
          <w:bCs/>
          <w:kern w:val="0"/>
        </w:rPr>
        <w:t>基差多头）策略。即买入国债现券、卖出国债期货，待基差扩大平仓获利。</w:t>
      </w:r>
    </w:p>
    <w:p>
      <w:pPr>
        <w:spacing w:line="360" w:lineRule="auto"/>
        <w:ind w:firstLine="480" w:firstLineChars="200"/>
        <w:rPr>
          <w:rFonts w:ascii="仿宋" w:hAnsi="仿宋"/>
          <w:bCs/>
          <w:kern w:val="0"/>
        </w:rPr>
      </w:pPr>
      <w:r>
        <w:rPr>
          <w:rFonts w:ascii="仿宋" w:hAnsi="仿宋"/>
          <w:bCs/>
          <w:kern w:val="0"/>
        </w:rPr>
        <w:t>2）卖出基差（</w:t>
      </w:r>
      <w:r>
        <w:rPr>
          <w:rFonts w:hint="eastAsia" w:ascii="仿宋" w:hAnsi="仿宋"/>
          <w:bCs/>
          <w:kern w:val="0"/>
        </w:rPr>
        <w:t>基差空头）策略。即卖出国债现券、买入国债期货，待基差缩小平仓获利。</w:t>
      </w:r>
    </w:p>
    <w:p>
      <w:pPr>
        <w:spacing w:line="360" w:lineRule="auto"/>
        <w:ind w:firstLine="482" w:firstLineChars="200"/>
        <w:rPr>
          <w:rFonts w:ascii="仿宋" w:hAnsi="仿宋"/>
          <w:b/>
          <w:kern w:val="0"/>
        </w:rPr>
      </w:pPr>
    </w:p>
    <w:p>
      <w:pPr>
        <w:pStyle w:val="4"/>
        <w:spacing w:before="0" w:after="0" w:line="360" w:lineRule="auto"/>
        <w:rPr>
          <w:rFonts w:ascii="仿宋" w:hAnsi="仿宋"/>
          <w:szCs w:val="24"/>
        </w:rPr>
      </w:pPr>
      <w:bookmarkStart w:id="77" w:name="_Toc445043878"/>
      <w:bookmarkStart w:id="78" w:name="_Toc402111939"/>
      <w:bookmarkStart w:id="79" w:name="_Toc3896702"/>
      <w:r>
        <w:rPr>
          <w:rFonts w:hint="eastAsia" w:ascii="仿宋" w:hAnsi="仿宋"/>
          <w:szCs w:val="24"/>
        </w:rPr>
        <w:t>（三）</w:t>
      </w:r>
      <w:r>
        <w:rPr>
          <w:rFonts w:ascii="仿宋" w:hAnsi="仿宋"/>
          <w:szCs w:val="24"/>
        </w:rPr>
        <w:t>5年期国债期货合约的主要条款</w:t>
      </w:r>
      <w:bookmarkEnd w:id="77"/>
      <w:bookmarkEnd w:id="78"/>
      <w:bookmarkEnd w:id="79"/>
    </w:p>
    <w:p>
      <w:pPr>
        <w:spacing w:line="360" w:lineRule="auto"/>
        <w:ind w:firstLine="480" w:firstLineChars="200"/>
        <w:rPr>
          <w:rFonts w:ascii="仿宋" w:hAnsi="仿宋"/>
          <w:bCs/>
          <w:kern w:val="0"/>
        </w:rPr>
      </w:pPr>
      <w:r>
        <w:rPr>
          <w:rFonts w:ascii="仿宋" w:hAnsi="仿宋"/>
          <w:bCs/>
          <w:kern w:val="0"/>
        </w:rPr>
        <w:t>2013年9月6日，中国金融期货交易所推出5年期国债期货合约交易。中国金融期货交易所5年期国债期货合约标的为面额为100万元人民币、票面利率为3%的5年期名义标准国债，合约月份为最近的三个季月，以面额为百元的国债净价报价，采用实物交割。5年期国债期货的交割以“名义标准债券”（或者称为“虚拟债券”）为交割标的，多品种替代交割，在交割月首日剩余期限为4-7年（不含7年）的固定利率国债都可用于交割。</w:t>
      </w:r>
    </w:p>
    <w:p>
      <w:pPr>
        <w:spacing w:line="360" w:lineRule="auto"/>
        <w:ind w:firstLine="480" w:firstLineChars="200"/>
        <w:rPr>
          <w:rFonts w:ascii="仿宋" w:hAnsi="仿宋"/>
          <w:bCs/>
          <w:kern w:val="0"/>
        </w:rPr>
      </w:pPr>
    </w:p>
    <w:p>
      <w:pPr>
        <w:pStyle w:val="4"/>
        <w:spacing w:before="0" w:after="0" w:line="360" w:lineRule="auto"/>
        <w:rPr>
          <w:rFonts w:ascii="仿宋" w:hAnsi="仿宋"/>
          <w:szCs w:val="24"/>
        </w:rPr>
      </w:pPr>
      <w:bookmarkStart w:id="80" w:name="_Toc445043879"/>
      <w:bookmarkStart w:id="81" w:name="_Toc3896703"/>
      <w:r>
        <w:rPr>
          <w:rFonts w:hint="eastAsia" w:ascii="仿宋" w:hAnsi="仿宋"/>
          <w:szCs w:val="24"/>
        </w:rPr>
        <w:t>（四）</w:t>
      </w:r>
      <w:r>
        <w:rPr>
          <w:rFonts w:ascii="仿宋" w:hAnsi="仿宋"/>
          <w:szCs w:val="24"/>
        </w:rPr>
        <w:t>10</w:t>
      </w:r>
      <w:r>
        <w:rPr>
          <w:rFonts w:hint="eastAsia" w:ascii="仿宋" w:hAnsi="仿宋"/>
          <w:szCs w:val="24"/>
        </w:rPr>
        <w:t>年期国债期货合约的主要条款</w:t>
      </w:r>
      <w:bookmarkEnd w:id="80"/>
      <w:bookmarkEnd w:id="81"/>
    </w:p>
    <w:p>
      <w:pPr>
        <w:spacing w:line="360" w:lineRule="auto"/>
        <w:ind w:firstLine="480" w:firstLineChars="200"/>
        <w:rPr>
          <w:rFonts w:ascii="仿宋" w:hAnsi="仿宋"/>
          <w:bCs/>
          <w:kern w:val="0"/>
        </w:rPr>
      </w:pPr>
      <w:r>
        <w:rPr>
          <w:rFonts w:hint="eastAsia" w:ascii="仿宋" w:hAnsi="仿宋"/>
          <w:bCs/>
          <w:kern w:val="0"/>
        </w:rPr>
        <w:t>201</w:t>
      </w:r>
      <w:r>
        <w:rPr>
          <w:rFonts w:ascii="仿宋" w:hAnsi="仿宋"/>
          <w:bCs/>
          <w:kern w:val="0"/>
        </w:rPr>
        <w:t>5</w:t>
      </w:r>
      <w:r>
        <w:rPr>
          <w:rFonts w:hint="eastAsia" w:ascii="仿宋" w:hAnsi="仿宋"/>
          <w:bCs/>
          <w:kern w:val="0"/>
        </w:rPr>
        <w:t>年</w:t>
      </w:r>
      <w:r>
        <w:rPr>
          <w:rFonts w:ascii="仿宋" w:hAnsi="仿宋"/>
          <w:bCs/>
          <w:kern w:val="0"/>
        </w:rPr>
        <w:t>3</w:t>
      </w:r>
      <w:r>
        <w:rPr>
          <w:rFonts w:hint="eastAsia" w:ascii="仿宋" w:hAnsi="仿宋"/>
          <w:bCs/>
          <w:kern w:val="0"/>
        </w:rPr>
        <w:t>月</w:t>
      </w:r>
      <w:r>
        <w:rPr>
          <w:rFonts w:ascii="仿宋" w:hAnsi="仿宋"/>
          <w:bCs/>
          <w:kern w:val="0"/>
        </w:rPr>
        <w:t>20</w:t>
      </w:r>
      <w:r>
        <w:rPr>
          <w:rFonts w:hint="eastAsia" w:ascii="仿宋" w:hAnsi="仿宋"/>
          <w:bCs/>
          <w:kern w:val="0"/>
        </w:rPr>
        <w:t>日，中国金融期货交易所推出</w:t>
      </w:r>
      <w:r>
        <w:rPr>
          <w:rFonts w:ascii="仿宋" w:hAnsi="仿宋"/>
          <w:bCs/>
          <w:kern w:val="0"/>
        </w:rPr>
        <w:t>10</w:t>
      </w:r>
      <w:r>
        <w:rPr>
          <w:rFonts w:hint="eastAsia" w:ascii="仿宋" w:hAnsi="仿宋"/>
          <w:bCs/>
          <w:kern w:val="0"/>
        </w:rPr>
        <w:t>年期国债期货合约交易。中国金融期货交易所</w:t>
      </w:r>
      <w:r>
        <w:rPr>
          <w:rFonts w:ascii="仿宋" w:hAnsi="仿宋"/>
          <w:bCs/>
          <w:kern w:val="0"/>
        </w:rPr>
        <w:t>10</w:t>
      </w:r>
      <w:r>
        <w:rPr>
          <w:rFonts w:hint="eastAsia" w:ascii="仿宋" w:hAnsi="仿宋"/>
          <w:bCs/>
          <w:kern w:val="0"/>
        </w:rPr>
        <w:t>年期国债期货合约标的为面额为100万元人民币、票面利率为3%的</w:t>
      </w:r>
      <w:r>
        <w:rPr>
          <w:rFonts w:ascii="仿宋" w:hAnsi="仿宋"/>
          <w:bCs/>
          <w:kern w:val="0"/>
        </w:rPr>
        <w:t>10</w:t>
      </w:r>
      <w:r>
        <w:rPr>
          <w:rFonts w:hint="eastAsia" w:ascii="仿宋" w:hAnsi="仿宋"/>
          <w:bCs/>
          <w:kern w:val="0"/>
        </w:rPr>
        <w:t>年期名义标准国债，合约月份为最近的三个季月，以面额为百元的国债净价报价，采用实物交割。</w:t>
      </w:r>
      <w:r>
        <w:rPr>
          <w:rFonts w:ascii="仿宋" w:hAnsi="仿宋"/>
          <w:bCs/>
          <w:kern w:val="0"/>
        </w:rPr>
        <w:t>10</w:t>
      </w:r>
      <w:r>
        <w:rPr>
          <w:rFonts w:hint="eastAsia" w:ascii="仿宋" w:hAnsi="仿宋"/>
          <w:bCs/>
          <w:kern w:val="0"/>
        </w:rPr>
        <w:t>年期国债期货的交割以“名义标准债券”（或者称为“虚拟债券”）为交割标的，多品种替代交割，在交割月首日剩余期限为</w:t>
      </w:r>
      <w:r>
        <w:rPr>
          <w:rFonts w:ascii="仿宋" w:hAnsi="仿宋"/>
          <w:bCs/>
          <w:kern w:val="0"/>
        </w:rPr>
        <w:t>6.5-10.25</w:t>
      </w:r>
      <w:r>
        <w:rPr>
          <w:rFonts w:hint="eastAsia" w:ascii="仿宋" w:hAnsi="仿宋"/>
          <w:bCs/>
          <w:kern w:val="0"/>
        </w:rPr>
        <w:t>的固定利率国债都可用于交割。</w:t>
      </w:r>
    </w:p>
    <w:p>
      <w:pPr>
        <w:spacing w:line="360" w:lineRule="auto"/>
        <w:ind w:firstLine="480" w:firstLineChars="200"/>
        <w:rPr>
          <w:rFonts w:ascii="仿宋" w:hAnsi="仿宋"/>
          <w:bCs/>
          <w:kern w:val="0"/>
        </w:rPr>
      </w:pPr>
    </w:p>
    <w:p>
      <w:pPr>
        <w:pStyle w:val="4"/>
        <w:spacing w:before="0" w:after="0" w:line="360" w:lineRule="auto"/>
        <w:rPr>
          <w:rFonts w:ascii="仿宋" w:hAnsi="仿宋"/>
          <w:szCs w:val="24"/>
        </w:rPr>
      </w:pPr>
      <w:bookmarkStart w:id="82" w:name="_Toc3896704"/>
      <w:r>
        <w:rPr>
          <w:rFonts w:hint="eastAsia" w:ascii="仿宋" w:hAnsi="仿宋"/>
          <w:szCs w:val="24"/>
        </w:rPr>
        <w:t>（五）2年期国债期货合约的主要条款</w:t>
      </w:r>
      <w:bookmarkEnd w:id="82"/>
    </w:p>
    <w:p>
      <w:pPr>
        <w:spacing w:line="360" w:lineRule="auto"/>
        <w:ind w:firstLine="480" w:firstLineChars="200"/>
        <w:rPr>
          <w:rFonts w:ascii="仿宋" w:hAnsi="仿宋"/>
          <w:bCs/>
          <w:kern w:val="0"/>
        </w:rPr>
      </w:pPr>
      <w:r>
        <w:rPr>
          <w:rFonts w:hint="eastAsia" w:ascii="仿宋" w:hAnsi="仿宋"/>
          <w:bCs/>
          <w:kern w:val="0"/>
        </w:rPr>
        <w:t>2018年8月17日，中国金融期货交易所推出2年期国债期货合约交易。中国金融期货交易所2年期国债期货合约标的为面额为200万元人民币、票面利率为3%的2年期名义中短期国债，合约月份为最近的三个季月，以面额为百元的国债净价报价，采用实物交割。2年期国债期货的交割以“名义中短期债券”（或者称为“虚拟债券”）为交割标的，多品种替代交割，在交割月首日剩余期限为1.5-2.25的固定利率国债都可用于交割。</w:t>
      </w:r>
    </w:p>
    <w:p>
      <w:pPr>
        <w:spacing w:line="360" w:lineRule="auto"/>
        <w:ind w:firstLine="480" w:firstLineChars="200"/>
        <w:rPr>
          <w:rFonts w:ascii="仿宋" w:hAnsi="仿宋"/>
          <w:bCs/>
          <w:kern w:val="0"/>
        </w:rPr>
      </w:pPr>
    </w:p>
    <w:p>
      <w:pPr>
        <w:pStyle w:val="3"/>
        <w:rPr>
          <w:sz w:val="24"/>
          <w:szCs w:val="24"/>
        </w:rPr>
      </w:pPr>
      <w:bookmarkStart w:id="83" w:name="_Toc3896705"/>
      <w:bookmarkStart w:id="84" w:name="_Toc445043880"/>
      <w:bookmarkStart w:id="85" w:name="_Toc402111940"/>
      <w:r>
        <w:rPr>
          <w:rFonts w:hint="eastAsia"/>
          <w:sz w:val="24"/>
          <w:szCs w:val="24"/>
        </w:rPr>
        <w:t>九、股指期货</w:t>
      </w:r>
      <w:bookmarkEnd w:id="83"/>
      <w:bookmarkEnd w:id="84"/>
      <w:bookmarkEnd w:id="85"/>
    </w:p>
    <w:p>
      <w:pPr>
        <w:pStyle w:val="4"/>
        <w:spacing w:before="0" w:after="0" w:line="360" w:lineRule="auto"/>
        <w:rPr>
          <w:rFonts w:ascii="仿宋" w:hAnsi="仿宋"/>
          <w:szCs w:val="24"/>
        </w:rPr>
      </w:pPr>
      <w:bookmarkStart w:id="86" w:name="_Toc402111941"/>
      <w:bookmarkStart w:id="87" w:name="_Toc445043881"/>
      <w:bookmarkStart w:id="88" w:name="_Toc3896706"/>
      <w:r>
        <w:rPr>
          <w:rFonts w:hint="eastAsia" w:ascii="仿宋" w:hAnsi="仿宋"/>
          <w:szCs w:val="24"/>
        </w:rPr>
        <w:t>（一）股指期货</w:t>
      </w:r>
      <w:bookmarkEnd w:id="86"/>
      <w:r>
        <w:rPr>
          <w:rFonts w:hint="eastAsia" w:ascii="仿宋" w:hAnsi="仿宋"/>
          <w:szCs w:val="24"/>
        </w:rPr>
        <w:t>基础</w:t>
      </w:r>
      <w:bookmarkEnd w:id="87"/>
      <w:bookmarkEnd w:id="88"/>
    </w:p>
    <w:p>
      <w:pPr>
        <w:spacing w:line="360" w:lineRule="auto"/>
        <w:ind w:firstLine="480" w:firstLineChars="200"/>
        <w:rPr>
          <w:rFonts w:ascii="仿宋" w:hAnsi="仿宋"/>
          <w:bCs/>
          <w:kern w:val="0"/>
        </w:rPr>
      </w:pPr>
      <w:r>
        <w:rPr>
          <w:rFonts w:hint="eastAsia" w:ascii="仿宋" w:hAnsi="仿宋"/>
          <w:bCs/>
          <w:kern w:val="0"/>
        </w:rPr>
        <w:t>以股票价格指数为期货合约交易标的物的期货品种称为股指期货。投资者可以通过股指期货套期保值交易对冲股票市场系统性风险。股指期货采用现金交割。</w:t>
      </w:r>
    </w:p>
    <w:p>
      <w:pPr>
        <w:spacing w:line="360" w:lineRule="auto"/>
        <w:ind w:firstLine="480" w:firstLineChars="200"/>
        <w:rPr>
          <w:rFonts w:ascii="仿宋" w:hAnsi="仿宋"/>
          <w:bCs/>
          <w:kern w:val="0"/>
        </w:rPr>
      </w:pPr>
      <w:r>
        <w:rPr>
          <w:rFonts w:hint="eastAsia" w:ascii="仿宋" w:hAnsi="仿宋"/>
          <w:bCs/>
          <w:kern w:val="0"/>
        </w:rPr>
        <w:t>股指期价格主要由标的股票指数、市场利率、股票平均分红利率、期货合约到期时间长短决定。影响股票指数和股指期货价格走势因素有：宏观经济及企业运行状况、利率和汇率水平及变化趋势、资金供求状况与通胀水平及预期、突发政治安全事件、宏观经济政策、与成份股企业相关的各种信息、国际金融市场走势等。　　</w:t>
      </w:r>
      <w:r>
        <w:rPr>
          <w:rFonts w:ascii="仿宋" w:hAnsi="仿宋"/>
          <w:bCs/>
          <w:kern w:val="0"/>
        </w:rPr>
        <w:t xml:space="preserve"> </w:t>
      </w:r>
    </w:p>
    <w:p>
      <w:pPr>
        <w:spacing w:line="360" w:lineRule="auto"/>
        <w:ind w:firstLine="480" w:firstLineChars="200"/>
        <w:rPr>
          <w:rFonts w:ascii="仿宋" w:hAnsi="仿宋"/>
          <w:bCs/>
          <w:kern w:val="0"/>
        </w:rPr>
      </w:pPr>
    </w:p>
    <w:p>
      <w:pPr>
        <w:pStyle w:val="4"/>
        <w:spacing w:before="0" w:after="0" w:line="360" w:lineRule="auto"/>
        <w:rPr>
          <w:rFonts w:ascii="仿宋" w:hAnsi="仿宋"/>
          <w:szCs w:val="24"/>
        </w:rPr>
      </w:pPr>
      <w:bookmarkStart w:id="89" w:name="_Toc402111942"/>
      <w:bookmarkStart w:id="90" w:name="_Toc445043882"/>
      <w:bookmarkStart w:id="91" w:name="_Toc3896707"/>
      <w:r>
        <w:rPr>
          <w:rFonts w:hint="eastAsia" w:ascii="仿宋" w:hAnsi="仿宋"/>
          <w:szCs w:val="24"/>
        </w:rPr>
        <w:t>（二）股指期货</w:t>
      </w:r>
      <w:bookmarkEnd w:id="89"/>
      <w:bookmarkEnd w:id="90"/>
      <w:r>
        <w:rPr>
          <w:rFonts w:hint="eastAsia"/>
          <w:szCs w:val="24"/>
        </w:rPr>
        <w:t>套期保值</w:t>
      </w:r>
      <w:bookmarkEnd w:id="91"/>
      <w:r>
        <w:rPr>
          <w:rFonts w:hint="eastAsia" w:ascii="仿宋" w:hAnsi="仿宋"/>
          <w:szCs w:val="24"/>
        </w:rPr>
        <w:t xml:space="preserve"> </w:t>
      </w:r>
    </w:p>
    <w:p>
      <w:pPr>
        <w:spacing w:line="360" w:lineRule="auto"/>
        <w:ind w:firstLine="480" w:firstLineChars="200"/>
        <w:rPr>
          <w:rFonts w:ascii="仿宋" w:hAnsi="仿宋"/>
          <w:bCs/>
          <w:kern w:val="0"/>
        </w:rPr>
      </w:pPr>
      <w:r>
        <w:rPr>
          <w:rFonts w:hint="eastAsia" w:ascii="仿宋" w:hAnsi="仿宋"/>
          <w:bCs/>
          <w:kern w:val="0"/>
        </w:rPr>
        <w:t>股指期货套期保值交易分为两种基本类型：空头</w:t>
      </w:r>
      <w:r>
        <w:rPr>
          <w:rFonts w:ascii="仿宋" w:hAnsi="仿宋"/>
          <w:bCs/>
          <w:kern w:val="0"/>
        </w:rPr>
        <w:t xml:space="preserve">/卖出套期保值和多头/买入套期保值。 </w:t>
      </w:r>
    </w:p>
    <w:p>
      <w:pPr>
        <w:spacing w:line="360" w:lineRule="auto"/>
        <w:ind w:firstLine="480" w:firstLineChars="200"/>
        <w:rPr>
          <w:rFonts w:ascii="仿宋" w:hAnsi="仿宋"/>
          <w:bCs/>
          <w:kern w:val="0"/>
        </w:rPr>
      </w:pPr>
      <w:r>
        <w:rPr>
          <w:rFonts w:hint="eastAsia" w:ascii="仿宋" w:hAnsi="仿宋"/>
          <w:bCs/>
          <w:kern w:val="0"/>
        </w:rPr>
        <w:t>空头套期保值可用于对冲股票市场价格下跌的风险，进行空头套期保值的情形主要是持有股票组合，担心股票市场价格下跌而影响股票组合的收益。</w:t>
      </w:r>
    </w:p>
    <w:p>
      <w:pPr>
        <w:spacing w:line="360" w:lineRule="auto"/>
        <w:ind w:firstLine="480" w:firstLineChars="200"/>
        <w:rPr>
          <w:rFonts w:ascii="仿宋" w:hAnsi="仿宋"/>
          <w:bCs/>
          <w:kern w:val="0"/>
        </w:rPr>
      </w:pPr>
      <w:r>
        <w:rPr>
          <w:rFonts w:hint="eastAsia" w:ascii="仿宋" w:hAnsi="仿宋"/>
          <w:bCs/>
          <w:kern w:val="0"/>
        </w:rPr>
        <w:t>多头套期保值可用于对冲股票市场价格上涨的风险，进行多头套期保值的情形主要是在未来计划持有股票组合，担心股市票市场价格上涨而使购买股票组合成本上升。</w:t>
      </w:r>
      <w:r>
        <w:rPr>
          <w:rFonts w:ascii="仿宋" w:hAnsi="仿宋"/>
          <w:bCs/>
          <w:kern w:val="0"/>
        </w:rPr>
        <w:t xml:space="preserve"> </w:t>
      </w:r>
    </w:p>
    <w:p>
      <w:pPr>
        <w:spacing w:line="360" w:lineRule="auto"/>
        <w:ind w:firstLine="480" w:firstLineChars="200"/>
        <w:rPr>
          <w:rFonts w:ascii="仿宋" w:hAnsi="仿宋"/>
          <w:bCs/>
          <w:kern w:val="0"/>
        </w:rPr>
      </w:pPr>
      <w:r>
        <w:rPr>
          <w:rFonts w:hint="eastAsia" w:ascii="仿宋" w:hAnsi="仿宋"/>
          <w:bCs/>
          <w:kern w:val="0"/>
        </w:rPr>
        <w:t>在股指期货套期保值交易中，只有买卖指数基金或严格按照指数的构成买卖一揽子股票，才能做到完全对应。对绝大多数的股市投资者而言，并不总是按照指数成分股来构建股票组合。为有效地对投资者的股票组合进行保值，需要确定一个合理买卖股指期货合约的数量，从而引入β系数计算冲抵现货市场中股票组合的风险所需要买入或卖出的股指期货合约的数量。</w:t>
      </w:r>
    </w:p>
    <w:p>
      <w:pPr>
        <w:spacing w:line="360" w:lineRule="auto"/>
        <w:ind w:firstLine="480" w:firstLineChars="200"/>
        <w:rPr>
          <w:rFonts w:ascii="仿宋" w:hAnsi="仿宋"/>
          <w:bCs/>
          <w:kern w:val="0"/>
        </w:rPr>
      </w:pPr>
      <w:r>
        <w:rPr>
          <w:rFonts w:hint="eastAsia" w:ascii="仿宋" w:hAnsi="仿宋"/>
          <w:bCs/>
          <w:kern w:val="0"/>
        </w:rPr>
        <w:t>买卖期货合约数＝现货总价值</w:t>
      </w:r>
      <w:r>
        <w:rPr>
          <w:rFonts w:ascii="仿宋" w:hAnsi="仿宋"/>
          <w:bCs/>
          <w:kern w:val="0"/>
        </w:rPr>
        <w:t>/(期货指数点×每点乘数)×β系数。β系数越大，所需的期货合约数就越多；反之则越少。</w:t>
      </w:r>
    </w:p>
    <w:p>
      <w:pPr>
        <w:spacing w:line="360" w:lineRule="auto"/>
        <w:ind w:firstLine="480" w:firstLineChars="200"/>
        <w:rPr>
          <w:rFonts w:ascii="仿宋" w:hAnsi="仿宋"/>
          <w:bCs/>
          <w:kern w:val="0"/>
        </w:rPr>
      </w:pPr>
    </w:p>
    <w:p>
      <w:pPr>
        <w:pStyle w:val="4"/>
        <w:spacing w:before="0" w:after="0" w:line="360" w:lineRule="auto"/>
        <w:rPr>
          <w:rFonts w:ascii="仿宋" w:hAnsi="仿宋"/>
          <w:szCs w:val="24"/>
        </w:rPr>
      </w:pPr>
      <w:bookmarkStart w:id="92" w:name="_Toc3896708"/>
      <w:r>
        <w:rPr>
          <w:rFonts w:hint="eastAsia" w:ascii="仿宋" w:hAnsi="仿宋"/>
          <w:szCs w:val="24"/>
        </w:rPr>
        <w:t>（三）</w:t>
      </w:r>
      <w:r>
        <w:rPr>
          <w:rFonts w:ascii="仿宋" w:hAnsi="仿宋"/>
          <w:szCs w:val="24"/>
        </w:rPr>
        <w:t>股指期货投机与套利交易策略</w:t>
      </w:r>
      <w:bookmarkEnd w:id="92"/>
    </w:p>
    <w:p>
      <w:pPr>
        <w:spacing w:line="360" w:lineRule="auto"/>
        <w:ind w:firstLine="480" w:firstLineChars="200"/>
        <w:rPr>
          <w:rFonts w:ascii="仿宋" w:hAnsi="仿宋"/>
          <w:bCs/>
          <w:kern w:val="0"/>
        </w:rPr>
      </w:pPr>
      <w:r>
        <w:rPr>
          <w:rFonts w:hint="eastAsia" w:ascii="仿宋" w:hAnsi="仿宋"/>
          <w:bCs/>
          <w:kern w:val="0"/>
        </w:rPr>
        <w:t>股指期货市场的投机交易是指交易者根据对股票价格指数和股指期货合约价格的变动趋势作出预测，通过看涨时买进股指期货合约，看跌时卖出股指期货合约而获取价差收益的交易行为。</w:t>
      </w:r>
    </w:p>
    <w:p>
      <w:pPr>
        <w:spacing w:line="360" w:lineRule="auto"/>
        <w:ind w:firstLine="480" w:firstLineChars="200"/>
        <w:rPr>
          <w:rFonts w:ascii="仿宋" w:hAnsi="仿宋"/>
          <w:bCs/>
          <w:kern w:val="0"/>
        </w:rPr>
      </w:pPr>
      <w:r>
        <w:rPr>
          <w:rFonts w:hint="eastAsia" w:ascii="仿宋" w:hAnsi="仿宋"/>
          <w:bCs/>
          <w:kern w:val="0"/>
        </w:rPr>
        <w:t>常用的股指期货套利策略主要有跨期套利和期限套利两大类。股指期货套利策略包括期货合约间套利策略和期现套利策略两大类，投资者期待在期货合约间价差和期现货价差变动中博取风险收益。</w:t>
      </w:r>
    </w:p>
    <w:p>
      <w:pPr>
        <w:spacing w:line="360" w:lineRule="auto"/>
        <w:ind w:firstLine="480" w:firstLineChars="200"/>
        <w:rPr>
          <w:rFonts w:ascii="仿宋" w:hAnsi="仿宋"/>
          <w:bCs/>
          <w:kern w:val="0"/>
        </w:rPr>
      </w:pPr>
      <w:r>
        <w:rPr>
          <w:rFonts w:hint="eastAsia" w:ascii="仿宋" w:hAnsi="仿宋"/>
          <w:bCs/>
          <w:kern w:val="0"/>
        </w:rPr>
        <w:t>在正常市场中，远期合约与近期合约之间的价差主要受到持有成本的影响。当实际价差高于或低于正常价差时，就存在获利的机会。</w:t>
      </w:r>
    </w:p>
    <w:p>
      <w:pPr>
        <w:spacing w:line="360" w:lineRule="auto"/>
        <w:ind w:firstLine="480" w:firstLineChars="200"/>
        <w:rPr>
          <w:rFonts w:ascii="仿宋" w:hAnsi="仿宋"/>
          <w:bCs/>
          <w:kern w:val="0"/>
        </w:rPr>
      </w:pPr>
      <w:r>
        <w:rPr>
          <w:rFonts w:hint="eastAsia" w:ascii="仿宋" w:hAnsi="仿宋"/>
          <w:bCs/>
          <w:kern w:val="0"/>
        </w:rPr>
        <w:t>股指期货合约实际价格恰好等于股指期货理论价格的情况比较少，多数情况下股指期货合约实际价格与股指期货理论价格总是存在偏离。当前者高于后者时，称为期价高估，当前者低于后者时称为期价低估。当存在期价高估时，交易者可通过卖出股指期货同时买入对应的现货股票进行套利交易，这种操作称为“正向套利”。当存在期价低估时，交易者可通过买入股指期货的同时卖出对应的现货股票进行套利交易，这种操作称为“反向套利”。</w:t>
      </w:r>
    </w:p>
    <w:p>
      <w:pPr>
        <w:spacing w:line="360" w:lineRule="auto"/>
        <w:ind w:firstLine="480" w:firstLineChars="200"/>
        <w:rPr>
          <w:rFonts w:ascii="仿宋" w:hAnsi="仿宋"/>
          <w:bCs/>
          <w:kern w:val="0"/>
        </w:rPr>
      </w:pPr>
    </w:p>
    <w:p>
      <w:pPr>
        <w:pStyle w:val="4"/>
        <w:spacing w:before="0" w:after="0" w:line="360" w:lineRule="auto"/>
        <w:rPr>
          <w:rFonts w:ascii="仿宋" w:hAnsi="仿宋"/>
          <w:szCs w:val="24"/>
        </w:rPr>
      </w:pPr>
      <w:bookmarkStart w:id="93" w:name="_Toc402111943"/>
      <w:bookmarkStart w:id="94" w:name="_Toc445043883"/>
      <w:bookmarkStart w:id="95" w:name="_Toc3896709"/>
      <w:r>
        <w:rPr>
          <w:rFonts w:hint="eastAsia" w:ascii="仿宋" w:hAnsi="仿宋"/>
          <w:szCs w:val="24"/>
        </w:rPr>
        <w:t>（四）沪深</w:t>
      </w:r>
      <w:r>
        <w:rPr>
          <w:rFonts w:ascii="仿宋" w:hAnsi="仿宋"/>
          <w:szCs w:val="24"/>
        </w:rPr>
        <w:t>300股指期货合约主要条款</w:t>
      </w:r>
      <w:bookmarkEnd w:id="93"/>
      <w:bookmarkEnd w:id="94"/>
      <w:bookmarkEnd w:id="95"/>
    </w:p>
    <w:p>
      <w:pPr>
        <w:spacing w:line="360" w:lineRule="auto"/>
        <w:ind w:firstLine="480" w:firstLineChars="200"/>
        <w:rPr>
          <w:rFonts w:ascii="仿宋" w:hAnsi="仿宋"/>
          <w:bCs/>
          <w:kern w:val="0"/>
        </w:rPr>
      </w:pPr>
      <w:r>
        <w:rPr>
          <w:rFonts w:ascii="仿宋" w:hAnsi="仿宋"/>
          <w:bCs/>
          <w:kern w:val="0"/>
        </w:rPr>
        <w:t xml:space="preserve">2010年4月16日，中国金融期货交易所推出沪深300股指期货合约。沪深300股指期货是指以沪深300指数作为标的物的期货合约，合约乘数为每点300元，合约月份为当月、下月及随后两个季月。 </w:t>
      </w:r>
    </w:p>
    <w:p>
      <w:pPr>
        <w:spacing w:line="360" w:lineRule="auto"/>
        <w:ind w:firstLine="480" w:firstLineChars="200"/>
        <w:rPr>
          <w:rFonts w:ascii="仿宋" w:hAnsi="仿宋"/>
          <w:bCs/>
          <w:kern w:val="0"/>
        </w:rPr>
      </w:pPr>
      <w:r>
        <w:rPr>
          <w:rFonts w:hint="eastAsia" w:ascii="仿宋" w:hAnsi="仿宋"/>
          <w:bCs/>
          <w:kern w:val="0"/>
        </w:rPr>
        <w:t>沪深</w:t>
      </w:r>
      <w:r>
        <w:rPr>
          <w:rFonts w:ascii="仿宋" w:hAnsi="仿宋"/>
          <w:bCs/>
          <w:kern w:val="0"/>
        </w:rPr>
        <w:t>300股指期货合约采用现金交割方式，在合约到期时，交易双方按照交割结算价进行现金差价结算。沪深300股指期货的</w:t>
      </w:r>
      <w:r>
        <w:fldChar w:fldCharType="begin"/>
      </w:r>
      <w:r>
        <w:instrText xml:space="preserve"> HYPERLINK "http://baike.so.com/doc/5410576.html" \t "http://baike.so.com/doc/_blank" </w:instrText>
      </w:r>
      <w:r>
        <w:fldChar w:fldCharType="separate"/>
      </w:r>
      <w:r>
        <w:rPr>
          <w:rFonts w:hint="eastAsia" w:ascii="仿宋" w:hAnsi="仿宋"/>
          <w:bCs/>
          <w:kern w:val="0"/>
        </w:rPr>
        <w:t>交易时间</w:t>
      </w:r>
      <w:r>
        <w:rPr>
          <w:rFonts w:hint="eastAsia" w:ascii="仿宋" w:hAnsi="仿宋"/>
          <w:bCs/>
          <w:kern w:val="0"/>
        </w:rPr>
        <w:fldChar w:fldCharType="end"/>
      </w:r>
      <w:r>
        <w:rPr>
          <w:rFonts w:hint="eastAsia" w:ascii="仿宋" w:hAnsi="仿宋"/>
          <w:bCs/>
          <w:kern w:val="0"/>
        </w:rPr>
        <w:t>为</w:t>
      </w:r>
      <w:r>
        <w:rPr>
          <w:rFonts w:ascii="仿宋" w:hAnsi="仿宋"/>
          <w:bCs/>
          <w:kern w:val="0"/>
        </w:rPr>
        <w:t>9:</w:t>
      </w:r>
      <w:r>
        <w:rPr>
          <w:rFonts w:hint="eastAsia" w:ascii="仿宋" w:hAnsi="仿宋"/>
          <w:bCs/>
          <w:kern w:val="0"/>
        </w:rPr>
        <w:t>30</w:t>
      </w:r>
      <w:r>
        <w:rPr>
          <w:rFonts w:ascii="仿宋" w:hAnsi="仿宋"/>
          <w:bCs/>
          <w:kern w:val="0"/>
        </w:rPr>
        <w:t>-11:30， 13:00-15:</w:t>
      </w:r>
      <w:r>
        <w:rPr>
          <w:rFonts w:hint="eastAsia" w:ascii="仿宋" w:hAnsi="仿宋"/>
          <w:bCs/>
          <w:kern w:val="0"/>
        </w:rPr>
        <w:t>00</w:t>
      </w:r>
      <w:r>
        <w:rPr>
          <w:rFonts w:ascii="仿宋" w:hAnsi="仿宋"/>
          <w:bCs/>
          <w:kern w:val="0"/>
        </w:rPr>
        <w:t>。</w:t>
      </w:r>
    </w:p>
    <w:p>
      <w:pPr>
        <w:spacing w:line="360" w:lineRule="auto"/>
        <w:ind w:firstLine="480" w:firstLineChars="200"/>
        <w:rPr>
          <w:rFonts w:ascii="仿宋" w:hAnsi="仿宋"/>
          <w:bCs/>
          <w:kern w:val="0"/>
        </w:rPr>
      </w:pPr>
    </w:p>
    <w:p>
      <w:pPr>
        <w:pStyle w:val="4"/>
        <w:spacing w:before="0" w:after="0" w:line="360" w:lineRule="auto"/>
        <w:rPr>
          <w:rFonts w:ascii="仿宋" w:hAnsi="仿宋"/>
          <w:szCs w:val="24"/>
        </w:rPr>
      </w:pPr>
      <w:bookmarkStart w:id="96" w:name="_Toc445043884"/>
      <w:bookmarkStart w:id="97" w:name="_Toc3896710"/>
      <w:r>
        <w:rPr>
          <w:rFonts w:hint="eastAsia" w:ascii="仿宋" w:hAnsi="仿宋"/>
          <w:szCs w:val="24"/>
        </w:rPr>
        <w:t>（五）中</w:t>
      </w:r>
      <w:r>
        <w:rPr>
          <w:rFonts w:ascii="仿宋" w:hAnsi="仿宋"/>
          <w:szCs w:val="24"/>
        </w:rPr>
        <w:t>证500</w:t>
      </w:r>
      <w:r>
        <w:rPr>
          <w:rFonts w:hint="eastAsia" w:ascii="仿宋" w:hAnsi="仿宋"/>
          <w:szCs w:val="24"/>
        </w:rPr>
        <w:t>股指期货合约主要条款</w:t>
      </w:r>
      <w:bookmarkEnd w:id="96"/>
      <w:bookmarkEnd w:id="97"/>
      <w:r>
        <w:rPr>
          <w:rFonts w:ascii="仿宋" w:hAnsi="仿宋"/>
          <w:szCs w:val="24"/>
        </w:rPr>
        <w:t xml:space="preserve"> </w:t>
      </w:r>
    </w:p>
    <w:p>
      <w:pPr>
        <w:spacing w:line="360" w:lineRule="auto"/>
        <w:ind w:firstLine="480" w:firstLineChars="200"/>
        <w:rPr>
          <w:rFonts w:ascii="仿宋" w:hAnsi="仿宋"/>
          <w:bCs/>
          <w:kern w:val="0"/>
        </w:rPr>
      </w:pPr>
      <w:r>
        <w:rPr>
          <w:rFonts w:ascii="仿宋" w:hAnsi="仿宋"/>
          <w:bCs/>
          <w:kern w:val="0"/>
        </w:rPr>
        <w:t>2015</w:t>
      </w:r>
      <w:r>
        <w:rPr>
          <w:rFonts w:hint="eastAsia" w:ascii="仿宋" w:hAnsi="仿宋"/>
          <w:bCs/>
          <w:kern w:val="0"/>
        </w:rPr>
        <w:t>年</w:t>
      </w:r>
      <w:r>
        <w:rPr>
          <w:rFonts w:ascii="仿宋" w:hAnsi="仿宋"/>
          <w:bCs/>
          <w:kern w:val="0"/>
        </w:rPr>
        <w:t>4</w:t>
      </w:r>
      <w:r>
        <w:rPr>
          <w:rFonts w:hint="eastAsia" w:ascii="仿宋" w:hAnsi="仿宋"/>
          <w:bCs/>
          <w:kern w:val="0"/>
        </w:rPr>
        <w:t>月</w:t>
      </w:r>
      <w:r>
        <w:rPr>
          <w:rFonts w:ascii="仿宋" w:hAnsi="仿宋"/>
          <w:bCs/>
          <w:kern w:val="0"/>
        </w:rPr>
        <w:t>16</w:t>
      </w:r>
      <w:r>
        <w:rPr>
          <w:rFonts w:hint="eastAsia" w:ascii="仿宋" w:hAnsi="仿宋"/>
          <w:bCs/>
          <w:kern w:val="0"/>
        </w:rPr>
        <w:t>日，中国金融期货交易所推出中证500股指期货合约。中证500股指期货是指以中证500指数作为标的物的期货合约，合约乘数为每点</w:t>
      </w:r>
      <w:r>
        <w:rPr>
          <w:rFonts w:ascii="仿宋" w:hAnsi="仿宋"/>
          <w:bCs/>
          <w:kern w:val="0"/>
        </w:rPr>
        <w:t>200</w:t>
      </w:r>
      <w:r>
        <w:rPr>
          <w:rFonts w:hint="eastAsia" w:ascii="仿宋" w:hAnsi="仿宋"/>
          <w:bCs/>
          <w:kern w:val="0"/>
        </w:rPr>
        <w:t>元，合约月份为当月、下月及随后两个季月。</w:t>
      </w:r>
      <w:r>
        <w:rPr>
          <w:rFonts w:ascii="仿宋" w:hAnsi="仿宋"/>
          <w:bCs/>
          <w:kern w:val="0"/>
        </w:rPr>
        <w:t xml:space="preserve"> </w:t>
      </w:r>
    </w:p>
    <w:p>
      <w:pPr>
        <w:spacing w:line="360" w:lineRule="auto"/>
        <w:ind w:firstLine="480" w:firstLineChars="200"/>
        <w:rPr>
          <w:rFonts w:ascii="仿宋" w:hAnsi="仿宋"/>
          <w:bCs/>
          <w:kern w:val="0"/>
        </w:rPr>
      </w:pPr>
      <w:r>
        <w:rPr>
          <w:rFonts w:hint="eastAsia" w:ascii="仿宋" w:hAnsi="仿宋"/>
          <w:bCs/>
          <w:kern w:val="0"/>
        </w:rPr>
        <w:t>中证500股指期货合约采用现金交割方式，在合约到期时，交易双方按照交割结算价进行现金差价结算。中证500股指期货的交易时间为9:30-11:30， 13:00-15:00。</w:t>
      </w:r>
    </w:p>
    <w:p>
      <w:pPr>
        <w:spacing w:line="360" w:lineRule="auto"/>
        <w:ind w:firstLine="480" w:firstLineChars="200"/>
        <w:rPr>
          <w:rFonts w:ascii="仿宋" w:hAnsi="仿宋"/>
          <w:bCs/>
          <w:kern w:val="0"/>
        </w:rPr>
      </w:pPr>
    </w:p>
    <w:p>
      <w:pPr>
        <w:pStyle w:val="4"/>
        <w:spacing w:before="0" w:after="0" w:line="360" w:lineRule="auto"/>
        <w:rPr>
          <w:rFonts w:ascii="仿宋" w:hAnsi="仿宋"/>
          <w:szCs w:val="24"/>
        </w:rPr>
      </w:pPr>
      <w:bookmarkStart w:id="98" w:name="_Toc445043885"/>
      <w:bookmarkStart w:id="99" w:name="_Toc3896711"/>
      <w:r>
        <w:rPr>
          <w:rFonts w:hint="eastAsia" w:ascii="仿宋" w:hAnsi="仿宋"/>
          <w:szCs w:val="24"/>
        </w:rPr>
        <w:t>（六）上</w:t>
      </w:r>
      <w:r>
        <w:rPr>
          <w:rFonts w:ascii="仿宋" w:hAnsi="仿宋"/>
          <w:szCs w:val="24"/>
        </w:rPr>
        <w:t>证50</w:t>
      </w:r>
      <w:r>
        <w:rPr>
          <w:rFonts w:hint="eastAsia" w:ascii="仿宋" w:hAnsi="仿宋"/>
          <w:szCs w:val="24"/>
        </w:rPr>
        <w:t>股指期货合约主要条款</w:t>
      </w:r>
      <w:bookmarkEnd w:id="98"/>
      <w:bookmarkEnd w:id="99"/>
      <w:r>
        <w:rPr>
          <w:rFonts w:ascii="仿宋" w:hAnsi="仿宋"/>
          <w:szCs w:val="24"/>
        </w:rPr>
        <w:t xml:space="preserve"> </w:t>
      </w:r>
    </w:p>
    <w:p>
      <w:pPr>
        <w:spacing w:line="360" w:lineRule="auto"/>
        <w:ind w:firstLine="480" w:firstLineChars="200"/>
        <w:rPr>
          <w:rFonts w:ascii="仿宋" w:hAnsi="仿宋"/>
          <w:bCs/>
          <w:kern w:val="0"/>
        </w:rPr>
      </w:pPr>
      <w:r>
        <w:rPr>
          <w:rFonts w:ascii="仿宋" w:hAnsi="仿宋"/>
          <w:bCs/>
          <w:kern w:val="0"/>
        </w:rPr>
        <w:t>2015</w:t>
      </w:r>
      <w:r>
        <w:rPr>
          <w:rFonts w:hint="eastAsia" w:ascii="仿宋" w:hAnsi="仿宋"/>
          <w:bCs/>
          <w:kern w:val="0"/>
        </w:rPr>
        <w:t>年</w:t>
      </w:r>
      <w:r>
        <w:rPr>
          <w:rFonts w:ascii="仿宋" w:hAnsi="仿宋"/>
          <w:bCs/>
          <w:kern w:val="0"/>
        </w:rPr>
        <w:t>4</w:t>
      </w:r>
      <w:r>
        <w:rPr>
          <w:rFonts w:hint="eastAsia" w:ascii="仿宋" w:hAnsi="仿宋"/>
          <w:bCs/>
          <w:kern w:val="0"/>
        </w:rPr>
        <w:t>月</w:t>
      </w:r>
      <w:r>
        <w:rPr>
          <w:rFonts w:ascii="仿宋" w:hAnsi="仿宋"/>
          <w:bCs/>
          <w:kern w:val="0"/>
        </w:rPr>
        <w:t>16</w:t>
      </w:r>
      <w:r>
        <w:rPr>
          <w:rFonts w:hint="eastAsia" w:ascii="仿宋" w:hAnsi="仿宋"/>
          <w:bCs/>
          <w:kern w:val="0"/>
        </w:rPr>
        <w:t>日，中国金融期货交易所推出上证50股指期货合约。上证50股指期货是指以上证50指数作为标的物的期货合约，合约乘数为每点</w:t>
      </w:r>
      <w:r>
        <w:rPr>
          <w:rFonts w:ascii="仿宋" w:hAnsi="仿宋"/>
          <w:bCs/>
          <w:kern w:val="0"/>
        </w:rPr>
        <w:t>300</w:t>
      </w:r>
      <w:r>
        <w:rPr>
          <w:rFonts w:hint="eastAsia" w:ascii="仿宋" w:hAnsi="仿宋"/>
          <w:bCs/>
          <w:kern w:val="0"/>
        </w:rPr>
        <w:t>元，合约月份为当月、下月及随后两个季月。</w:t>
      </w:r>
      <w:r>
        <w:rPr>
          <w:rFonts w:ascii="仿宋" w:hAnsi="仿宋"/>
          <w:bCs/>
          <w:kern w:val="0"/>
        </w:rPr>
        <w:t xml:space="preserve"> </w:t>
      </w:r>
    </w:p>
    <w:p>
      <w:pPr>
        <w:spacing w:line="360" w:lineRule="auto"/>
        <w:ind w:firstLine="480" w:firstLineChars="200"/>
        <w:rPr>
          <w:rFonts w:ascii="仿宋" w:hAnsi="仿宋"/>
          <w:bCs/>
          <w:kern w:val="0"/>
        </w:rPr>
      </w:pPr>
      <w:r>
        <w:rPr>
          <w:rFonts w:hint="eastAsia" w:ascii="仿宋" w:hAnsi="仿宋"/>
          <w:bCs/>
          <w:kern w:val="0"/>
        </w:rPr>
        <w:t>上证50股指期货合约采用现金交割方式，在合约到期时，交易双方按照交割结算价进行现金差价结算。上证50股指期货的交易时间为</w:t>
      </w:r>
      <w:r>
        <w:rPr>
          <w:rFonts w:ascii="仿宋" w:hAnsi="仿宋"/>
          <w:bCs/>
          <w:kern w:val="0"/>
        </w:rPr>
        <w:t>9:30-11:30</w:t>
      </w:r>
      <w:r>
        <w:rPr>
          <w:rFonts w:hint="eastAsia" w:ascii="仿宋" w:hAnsi="仿宋"/>
          <w:bCs/>
          <w:kern w:val="0"/>
        </w:rPr>
        <w:t>，</w:t>
      </w:r>
      <w:r>
        <w:rPr>
          <w:rFonts w:ascii="仿宋" w:hAnsi="仿宋"/>
          <w:bCs/>
          <w:kern w:val="0"/>
        </w:rPr>
        <w:t xml:space="preserve"> 13:00-15:00</w:t>
      </w:r>
      <w:r>
        <w:rPr>
          <w:rFonts w:hint="eastAsia" w:ascii="仿宋" w:hAnsi="仿宋"/>
          <w:bCs/>
          <w:kern w:val="0"/>
        </w:rPr>
        <w:t>。</w:t>
      </w:r>
    </w:p>
    <w:p>
      <w:pPr>
        <w:spacing w:line="360" w:lineRule="auto"/>
        <w:ind w:firstLine="480" w:firstLineChars="200"/>
        <w:rPr>
          <w:rFonts w:ascii="仿宋" w:hAnsi="仿宋"/>
          <w:bCs/>
          <w:kern w:val="0"/>
        </w:rPr>
      </w:pPr>
    </w:p>
    <w:p>
      <w:pPr>
        <w:pStyle w:val="3"/>
        <w:rPr>
          <w:sz w:val="24"/>
          <w:szCs w:val="24"/>
        </w:rPr>
      </w:pPr>
      <w:bookmarkStart w:id="100" w:name="_Toc445043886"/>
      <w:bookmarkStart w:id="101" w:name="_Toc3896712"/>
      <w:r>
        <w:rPr>
          <w:rFonts w:hint="eastAsia"/>
          <w:sz w:val="24"/>
          <w:szCs w:val="24"/>
        </w:rPr>
        <w:t>十、期权</w:t>
      </w:r>
      <w:bookmarkEnd w:id="100"/>
      <w:bookmarkEnd w:id="101"/>
    </w:p>
    <w:p>
      <w:pPr>
        <w:pStyle w:val="4"/>
        <w:spacing w:before="0" w:after="0" w:line="360" w:lineRule="auto"/>
        <w:rPr>
          <w:rFonts w:ascii="仿宋" w:hAnsi="仿宋"/>
          <w:szCs w:val="24"/>
        </w:rPr>
      </w:pPr>
      <w:bookmarkStart w:id="102" w:name="_Toc445043887"/>
      <w:bookmarkStart w:id="103" w:name="_Toc3896713"/>
      <w:r>
        <w:rPr>
          <w:rFonts w:hint="eastAsia" w:ascii="仿宋" w:hAnsi="仿宋"/>
          <w:szCs w:val="24"/>
        </w:rPr>
        <w:t>（一）期权概念与特点</w:t>
      </w:r>
      <w:bookmarkEnd w:id="102"/>
      <w:bookmarkEnd w:id="103"/>
    </w:p>
    <w:p>
      <w:pPr>
        <w:autoSpaceDE w:val="0"/>
        <w:autoSpaceDN w:val="0"/>
        <w:adjustRightInd w:val="0"/>
        <w:spacing w:line="360" w:lineRule="auto"/>
        <w:ind w:firstLine="480" w:firstLineChars="200"/>
        <w:jc w:val="left"/>
        <w:rPr>
          <w:rFonts w:ascii="仿宋" w:hAnsi="仿宋"/>
          <w:bCs/>
          <w:kern w:val="0"/>
        </w:rPr>
      </w:pPr>
      <w:r>
        <w:rPr>
          <w:rFonts w:hint="eastAsia" w:ascii="仿宋" w:hAnsi="仿宋"/>
          <w:bCs/>
          <w:kern w:val="0"/>
        </w:rPr>
        <w:t>期权</w:t>
      </w:r>
      <w:r>
        <w:rPr>
          <w:rFonts w:ascii="仿宋" w:hAnsi="仿宋"/>
          <w:bCs/>
          <w:kern w:val="0"/>
        </w:rPr>
        <w:t>(Options)是一种有期限的权利，期权交易的对象是未来购买或出售商品的权利。期权的买方在支付期权费用后，便获得了在规定的期限内按约定价格购买或出售一定数量标的资产的权利，期权买方既可以选择执行权利，也可以选择放弃执行权利。所以，期权也称为选择权。当买方选择行权时，卖方必须履约。如果在期权到期时买方没有行权，则期权作废，买卖双方权利义务随之解除。</w:t>
      </w:r>
    </w:p>
    <w:p>
      <w:pPr>
        <w:autoSpaceDE w:val="0"/>
        <w:autoSpaceDN w:val="0"/>
        <w:adjustRightInd w:val="0"/>
        <w:spacing w:line="360" w:lineRule="auto"/>
        <w:ind w:firstLine="480" w:firstLineChars="200"/>
        <w:jc w:val="left"/>
        <w:rPr>
          <w:rFonts w:ascii="仿宋" w:hAnsi="仿宋"/>
          <w:bCs/>
          <w:kern w:val="0"/>
        </w:rPr>
      </w:pPr>
      <w:r>
        <w:rPr>
          <w:rFonts w:hint="eastAsia" w:ascii="仿宋" w:hAnsi="仿宋"/>
          <w:bCs/>
          <w:kern w:val="0"/>
        </w:rPr>
        <w:t>与其他交易形式和金融工具相比，期权具有如下特点：</w:t>
      </w:r>
    </w:p>
    <w:p>
      <w:pPr>
        <w:autoSpaceDE w:val="0"/>
        <w:autoSpaceDN w:val="0"/>
        <w:adjustRightInd w:val="0"/>
        <w:spacing w:line="360" w:lineRule="auto"/>
        <w:ind w:firstLine="480" w:firstLineChars="200"/>
        <w:jc w:val="left"/>
        <w:rPr>
          <w:rFonts w:ascii="仿宋" w:hAnsi="仿宋"/>
          <w:bCs/>
          <w:kern w:val="0"/>
        </w:rPr>
      </w:pPr>
      <w:r>
        <w:rPr>
          <w:rFonts w:hint="eastAsia" w:ascii="仿宋" w:hAnsi="仿宋"/>
          <w:bCs/>
          <w:kern w:val="0"/>
        </w:rPr>
        <w:t>第一，买卖双方的权利义务不同。期权是选择权，但只有买方拥有选择的权利。买方支付了期权费，便拥有了选择权，既可以选择执行期权，在约定的期限内购买或出售标的资产，也可以选择放弃执行期权；期权的卖方在获得期权费后，实际上将选择权出售给了期权的买方，从而赋有了履约的义务。当买方执行期权时，卖方必须履约，按约定价格将标的资产出售给买方或按约定价格购买买方出售的标的资产。</w:t>
      </w:r>
    </w:p>
    <w:p>
      <w:pPr>
        <w:autoSpaceDE w:val="0"/>
        <w:autoSpaceDN w:val="0"/>
        <w:adjustRightInd w:val="0"/>
        <w:spacing w:line="360" w:lineRule="auto"/>
        <w:ind w:firstLine="480" w:firstLineChars="200"/>
        <w:jc w:val="left"/>
        <w:rPr>
          <w:rFonts w:ascii="仿宋" w:hAnsi="仿宋"/>
          <w:bCs/>
          <w:kern w:val="0"/>
        </w:rPr>
      </w:pPr>
      <w:r>
        <w:rPr>
          <w:rFonts w:hint="eastAsia" w:ascii="仿宋" w:hAnsi="仿宋"/>
          <w:bCs/>
          <w:kern w:val="0"/>
        </w:rPr>
        <w:t>第二，买卖双方的收益和风险特征不同。期权的买方未来从期权卖方处买卖标的资产的价格是固定的，所以，当标的资产价格变化对买方有利时，买方可能获得非常高的收益，而标的资产价格变化对买方不利时，买方可放弃行权，其最大的损失为购买期权的费用；而期权卖方最大的收益为出售期权的费用，但标的资产价格变化对其不利时，则可能遭受非常大的损失。所以，期权买方的收益有可能非常高，而损失有限；期权卖方的收益有限，而损失可能非常大。</w:t>
      </w:r>
    </w:p>
    <w:p>
      <w:pPr>
        <w:autoSpaceDE w:val="0"/>
        <w:autoSpaceDN w:val="0"/>
        <w:adjustRightInd w:val="0"/>
        <w:spacing w:line="360" w:lineRule="auto"/>
        <w:ind w:firstLine="480" w:firstLineChars="200"/>
        <w:jc w:val="left"/>
        <w:rPr>
          <w:rFonts w:ascii="仿宋" w:hAnsi="仿宋"/>
          <w:bCs/>
          <w:kern w:val="0"/>
        </w:rPr>
      </w:pPr>
      <w:r>
        <w:rPr>
          <w:rFonts w:hint="eastAsia" w:ascii="仿宋" w:hAnsi="仿宋"/>
          <w:bCs/>
          <w:kern w:val="0"/>
        </w:rPr>
        <w:t>第三，对买卖双方缴纳保证金的要求不同。期权卖方需要缴纳保证金，而买方无需缴纳。期权交易中，由于买方的风险是锁定的，即最大的损失为已经支付的期权费，所以无需缴纳保证金；而卖方的风险有可能非常大，因此，为保证交易履约，交易所向无担保的期权卖方收取保证金，对于有担保期权，如果担保充足，则卖方也无需缴纳保证金，如果担保不足，对于不足部分仍需缴纳保证金。</w:t>
      </w:r>
    </w:p>
    <w:p>
      <w:pPr>
        <w:autoSpaceDE w:val="0"/>
        <w:autoSpaceDN w:val="0"/>
        <w:adjustRightInd w:val="0"/>
        <w:spacing w:line="360" w:lineRule="auto"/>
        <w:ind w:firstLine="480" w:firstLineChars="200"/>
        <w:jc w:val="left"/>
        <w:rPr>
          <w:rFonts w:ascii="仿宋" w:hAnsi="仿宋"/>
          <w:bCs/>
          <w:kern w:val="0"/>
        </w:rPr>
      </w:pPr>
      <w:r>
        <w:rPr>
          <w:rFonts w:hint="eastAsia" w:ascii="仿宋" w:hAnsi="仿宋"/>
          <w:bCs/>
          <w:kern w:val="0"/>
        </w:rPr>
        <w:t>第四，买卖双方的损益结构是非线性的。与其他交易方式相比，期权损益具有独特性，即在一定的价格范围内，期权买卖双方的损益不随标的资产价格涨跌而变化。所以，期权买卖双方的损益是非线性的，而其他大部分交易方式，买卖双方的损益随着标的资产价格的涨跌而变化，即收益是线性的。</w:t>
      </w:r>
    </w:p>
    <w:p>
      <w:pPr>
        <w:autoSpaceDE w:val="0"/>
        <w:autoSpaceDN w:val="0"/>
        <w:adjustRightInd w:val="0"/>
        <w:spacing w:line="360" w:lineRule="auto"/>
        <w:ind w:firstLine="480" w:firstLineChars="200"/>
        <w:jc w:val="left"/>
        <w:rPr>
          <w:rFonts w:ascii="仿宋" w:hAnsi="仿宋"/>
          <w:bCs/>
          <w:kern w:val="0"/>
        </w:rPr>
      </w:pPr>
      <w:r>
        <w:rPr>
          <w:rFonts w:hint="eastAsia" w:ascii="仿宋" w:hAnsi="仿宋"/>
          <w:bCs/>
          <w:kern w:val="0"/>
        </w:rPr>
        <w:t>期权的经济功能是为标的资产保险，而期货的经济功能是对冲标的资产的价格风险。期权通过为标的资产保险而达到对冲标的资产价格风险的目的。与期货交易相比，期权在对冲价格风险中可能更有利。其原因在于，期权多头的风险是可控的，而期货交易的风险是不可控的。利用期权多头对冲标的物价格风险，即可规避标的物头寸的风险，又不会丢失标的物市场的盈利机会，而利用期货对冲标的物价格风险，则会丢失标的物市场的盈利机会。但利用期权对冲标的物价格风险，比利用期货交易对冲标的物价格风险，需要多支付一笔期权费用。</w:t>
      </w:r>
    </w:p>
    <w:p>
      <w:pPr>
        <w:autoSpaceDE w:val="0"/>
        <w:autoSpaceDN w:val="0"/>
        <w:adjustRightInd w:val="0"/>
        <w:spacing w:line="360" w:lineRule="auto"/>
        <w:ind w:firstLine="480" w:firstLineChars="200"/>
        <w:jc w:val="left"/>
        <w:rPr>
          <w:rFonts w:ascii="仿宋" w:hAnsi="仿宋"/>
          <w:bCs/>
          <w:kern w:val="0"/>
        </w:rPr>
      </w:pPr>
    </w:p>
    <w:p>
      <w:pPr>
        <w:pStyle w:val="4"/>
        <w:spacing w:before="0" w:after="0" w:line="360" w:lineRule="auto"/>
        <w:rPr>
          <w:rFonts w:ascii="仿宋" w:hAnsi="仿宋"/>
          <w:szCs w:val="24"/>
        </w:rPr>
      </w:pPr>
      <w:bookmarkStart w:id="104" w:name="_Toc445043888"/>
      <w:bookmarkStart w:id="105" w:name="_Toc3896714"/>
      <w:r>
        <w:rPr>
          <w:rFonts w:hint="eastAsia" w:ascii="仿宋" w:hAnsi="仿宋"/>
          <w:szCs w:val="24"/>
        </w:rPr>
        <w:t>（二）期权的主要类型</w:t>
      </w:r>
      <w:bookmarkEnd w:id="104"/>
      <w:bookmarkEnd w:id="105"/>
    </w:p>
    <w:p>
      <w:pPr>
        <w:spacing w:line="360" w:lineRule="auto"/>
        <w:ind w:firstLine="480" w:firstLineChars="200"/>
        <w:rPr>
          <w:rFonts w:ascii="仿宋" w:hAnsi="仿宋"/>
          <w:bCs/>
          <w:kern w:val="0"/>
        </w:rPr>
      </w:pPr>
      <w:r>
        <w:rPr>
          <w:rFonts w:hint="eastAsia" w:ascii="仿宋" w:hAnsi="仿宋"/>
          <w:bCs/>
          <w:kern w:val="0"/>
        </w:rPr>
        <w:t>按照对买方行权时间规定的不同，可以将期权分为美式期权和欧式期权。美式期权是指期权买方在期权到起日前（含到期日）的任何交易日都可以行使权利的期权。欧式期权是指期权买方只能在期权到期日行使权利的期权。无论是欧式期权还是美式期权，在期权到期日之后买卖双方权利义务消除。美式期权与欧式期权的划分并无地域上的区别，市场上交易最多的是美式期权，欧式期权多用于现金结算的期权。</w:t>
      </w:r>
    </w:p>
    <w:p>
      <w:pPr>
        <w:spacing w:line="360" w:lineRule="auto"/>
        <w:ind w:firstLine="480" w:firstLineChars="200"/>
        <w:rPr>
          <w:rFonts w:ascii="仿宋" w:hAnsi="仿宋"/>
          <w:bCs/>
          <w:kern w:val="0"/>
        </w:rPr>
      </w:pPr>
      <w:r>
        <w:rPr>
          <w:rFonts w:hint="eastAsia" w:ascii="仿宋" w:hAnsi="仿宋"/>
          <w:bCs/>
          <w:kern w:val="0"/>
        </w:rPr>
        <w:t>按照买方行权方向的不同，可将期权分为看涨期权和看跌期权。</w:t>
      </w:r>
    </w:p>
    <w:p>
      <w:pPr>
        <w:spacing w:line="360" w:lineRule="auto"/>
        <w:ind w:firstLine="480" w:firstLineChars="200"/>
        <w:rPr>
          <w:rFonts w:ascii="仿宋" w:hAnsi="仿宋"/>
          <w:bCs/>
          <w:kern w:val="0"/>
        </w:rPr>
      </w:pPr>
      <w:r>
        <w:rPr>
          <w:rFonts w:hint="eastAsia" w:ascii="仿宋" w:hAnsi="仿宋"/>
          <w:bCs/>
          <w:kern w:val="0"/>
        </w:rPr>
        <w:t>看涨期权的买方享有选择购买标的资产的权利，所以看涨期权也称为买权、认购期权。看涨期权是指期权的买方向卖方支付一定数额的期权费后，便拥有了在合约有效期内或特定时间，按执行价格向期权卖方买入一定数量标的物的权利，但不负有必须买进的义务。看涨期权买方预期标的物市场价格上涨而买入买权，所以被称为看涨期权。标的物市场价格上涨越多，买方行权可能性越大，行权买入标的物后获取收益的可能性越大、获利可能越多。</w:t>
      </w:r>
    </w:p>
    <w:p>
      <w:pPr>
        <w:spacing w:line="360" w:lineRule="auto"/>
        <w:ind w:firstLine="480" w:firstLineChars="200"/>
        <w:rPr>
          <w:rFonts w:ascii="仿宋" w:hAnsi="仿宋"/>
          <w:bCs/>
          <w:kern w:val="0"/>
        </w:rPr>
      </w:pPr>
      <w:r>
        <w:rPr>
          <w:rFonts w:hint="eastAsia" w:ascii="仿宋" w:hAnsi="仿宋"/>
          <w:bCs/>
          <w:kern w:val="0"/>
        </w:rPr>
        <w:t>看跌期权的买方享有选择出售标的资产的权利，所以看跌期权也称为卖权、认沽期权。看跌期权是指期权的买方向卖方支付一定数额的期权费后，便拥有了在合约有效期内或特定时间，按执行价格向期权卖方出售一定数量标的物的权利，但不负有必须出售的义务。看跌期权买方预期标的物市场价格下跌而买入卖权，所以被称为看跌期权。标的物市场价格下跌越多，买方行权可能性越大，行权卖出标的物后获取收益的可能性越大、获利可能越多。</w:t>
      </w:r>
      <w:r>
        <w:rPr>
          <w:rFonts w:ascii="仿宋" w:hAnsi="仿宋"/>
          <w:bCs/>
          <w:kern w:val="0"/>
        </w:rPr>
        <w:t xml:space="preserve">  </w:t>
      </w:r>
    </w:p>
    <w:p>
      <w:pPr>
        <w:spacing w:line="360" w:lineRule="auto"/>
        <w:ind w:firstLine="480" w:firstLineChars="200"/>
        <w:rPr>
          <w:rFonts w:ascii="仿宋" w:hAnsi="仿宋"/>
          <w:bCs/>
          <w:kern w:val="0"/>
        </w:rPr>
      </w:pPr>
    </w:p>
    <w:p>
      <w:pPr>
        <w:pStyle w:val="4"/>
        <w:spacing w:before="0" w:after="0" w:line="360" w:lineRule="auto"/>
        <w:rPr>
          <w:rFonts w:ascii="仿宋" w:hAnsi="仿宋"/>
          <w:szCs w:val="24"/>
        </w:rPr>
      </w:pPr>
      <w:bookmarkStart w:id="106" w:name="_Toc445043889"/>
      <w:bookmarkStart w:id="107" w:name="_Toc3896715"/>
      <w:r>
        <w:rPr>
          <w:rFonts w:hint="eastAsia" w:ascii="仿宋" w:hAnsi="仿宋"/>
          <w:szCs w:val="24"/>
        </w:rPr>
        <w:t>（三）期权价格构成及其影响因素</w:t>
      </w:r>
      <w:bookmarkEnd w:id="106"/>
      <w:bookmarkEnd w:id="107"/>
    </w:p>
    <w:p>
      <w:pPr>
        <w:spacing w:line="360" w:lineRule="auto"/>
        <w:ind w:firstLine="480" w:firstLineChars="200"/>
        <w:rPr>
          <w:rFonts w:ascii="仿宋" w:hAnsi="仿宋"/>
          <w:bCs/>
          <w:kern w:val="0"/>
        </w:rPr>
      </w:pPr>
      <w:r>
        <w:rPr>
          <w:rFonts w:ascii="仿宋" w:hAnsi="仿宋"/>
          <w:bCs/>
          <w:kern w:val="0"/>
        </w:rPr>
        <w:t>1</w:t>
      </w:r>
      <w:r>
        <w:rPr>
          <w:rFonts w:hint="eastAsia" w:ascii="仿宋" w:hAnsi="仿宋"/>
          <w:bCs/>
          <w:kern w:val="0"/>
        </w:rPr>
        <w:t>、</w:t>
      </w:r>
      <w:r>
        <w:rPr>
          <w:rFonts w:ascii="仿宋" w:hAnsi="仿宋"/>
          <w:bCs/>
          <w:kern w:val="0"/>
        </w:rPr>
        <w:t>权利金、执行价格的含义</w:t>
      </w:r>
    </w:p>
    <w:p>
      <w:pPr>
        <w:spacing w:line="360" w:lineRule="auto"/>
        <w:ind w:firstLine="480" w:firstLineChars="200"/>
        <w:rPr>
          <w:rFonts w:ascii="仿宋" w:hAnsi="仿宋"/>
          <w:bCs/>
          <w:kern w:val="0"/>
        </w:rPr>
      </w:pPr>
      <w:r>
        <w:rPr>
          <w:rFonts w:hint="eastAsia" w:ascii="仿宋" w:hAnsi="仿宋"/>
          <w:bCs/>
          <w:kern w:val="0"/>
        </w:rPr>
        <w:t>权利金是期权的价格</w:t>
      </w:r>
      <w:r>
        <w:rPr>
          <w:rFonts w:ascii="仿宋" w:hAnsi="仿宋"/>
          <w:bCs/>
          <w:kern w:val="0"/>
        </w:rPr>
        <w:t>,</w:t>
      </w:r>
      <w:r>
        <w:rPr>
          <w:rFonts w:ascii="仿宋" w:hAnsi="仿宋"/>
        </w:rPr>
        <w:t xml:space="preserve"> </w:t>
      </w:r>
      <w:r>
        <w:rPr>
          <w:rFonts w:hint="eastAsia" w:ascii="仿宋" w:hAnsi="仿宋"/>
          <w:bCs/>
          <w:kern w:val="0"/>
        </w:rPr>
        <w:t>是期权买方为取得期权合约所赋予的权利而支付给卖方的费用。执行价格也称为行权价格、履约价格、敲定价格（</w:t>
      </w:r>
      <w:r>
        <w:rPr>
          <w:rFonts w:ascii="仿宋" w:hAnsi="仿宋"/>
          <w:bCs/>
          <w:kern w:val="0"/>
        </w:rPr>
        <w:t>strike price），是期权买方行使权利时，买卖双方交割标的物所依据的价格。</w:t>
      </w:r>
    </w:p>
    <w:p>
      <w:pPr>
        <w:spacing w:line="360" w:lineRule="auto"/>
        <w:ind w:firstLine="480" w:firstLineChars="200"/>
        <w:rPr>
          <w:rFonts w:ascii="仿宋" w:hAnsi="仿宋"/>
          <w:bCs/>
          <w:kern w:val="0"/>
        </w:rPr>
      </w:pPr>
      <w:r>
        <w:rPr>
          <w:rFonts w:ascii="仿宋" w:hAnsi="仿宋"/>
          <w:bCs/>
          <w:kern w:val="0"/>
        </w:rPr>
        <w:t>2</w:t>
      </w:r>
      <w:r>
        <w:rPr>
          <w:rFonts w:hint="eastAsia" w:ascii="仿宋" w:hAnsi="仿宋"/>
          <w:bCs/>
          <w:kern w:val="0"/>
        </w:rPr>
        <w:t>、</w:t>
      </w:r>
      <w:r>
        <w:rPr>
          <w:rFonts w:ascii="仿宋" w:hAnsi="仿宋"/>
          <w:bCs/>
          <w:kern w:val="0"/>
        </w:rPr>
        <w:t>权利金的构成，权利金、内涵价值和时间价值的关系</w:t>
      </w:r>
    </w:p>
    <w:p>
      <w:pPr>
        <w:tabs>
          <w:tab w:val="left" w:pos="4980"/>
        </w:tabs>
        <w:spacing w:line="360" w:lineRule="auto"/>
        <w:ind w:firstLine="480" w:firstLineChars="200"/>
        <w:rPr>
          <w:rFonts w:ascii="仿宋" w:hAnsi="仿宋"/>
          <w:bCs/>
          <w:kern w:val="0"/>
        </w:rPr>
      </w:pPr>
      <w:r>
        <w:rPr>
          <w:rFonts w:hint="eastAsia" w:ascii="仿宋" w:hAnsi="仿宋"/>
          <w:bCs/>
          <w:kern w:val="0"/>
        </w:rPr>
        <w:t>期权价格由内涵价值和时间价值组成。内涵价值由期权合约的执行价格与标的物市场价格的关系决定。</w:t>
      </w:r>
    </w:p>
    <w:p>
      <w:pPr>
        <w:autoSpaceDE w:val="0"/>
        <w:autoSpaceDN w:val="0"/>
        <w:adjustRightInd w:val="0"/>
        <w:spacing w:line="360" w:lineRule="auto"/>
        <w:ind w:firstLine="480" w:firstLineChars="200"/>
        <w:jc w:val="left"/>
        <w:rPr>
          <w:rFonts w:ascii="仿宋" w:hAnsi="仿宋"/>
          <w:bCs/>
          <w:kern w:val="0"/>
        </w:rPr>
      </w:pPr>
      <w:r>
        <w:rPr>
          <w:rFonts w:hint="eastAsia" w:ascii="仿宋" w:hAnsi="仿宋"/>
          <w:bCs/>
          <w:kern w:val="0"/>
        </w:rPr>
        <w:t>看涨期权的内涵价值</w:t>
      </w:r>
      <w:r>
        <w:rPr>
          <w:rFonts w:ascii="仿宋" w:hAnsi="仿宋"/>
          <w:bCs/>
          <w:kern w:val="0"/>
        </w:rPr>
        <w:t>=标的物的市场价格-执行价格</w:t>
      </w:r>
    </w:p>
    <w:p>
      <w:pPr>
        <w:autoSpaceDE w:val="0"/>
        <w:autoSpaceDN w:val="0"/>
        <w:adjustRightInd w:val="0"/>
        <w:spacing w:line="360" w:lineRule="auto"/>
        <w:ind w:firstLine="480" w:firstLineChars="200"/>
        <w:jc w:val="left"/>
        <w:rPr>
          <w:rFonts w:ascii="仿宋" w:hAnsi="仿宋"/>
          <w:bCs/>
          <w:kern w:val="0"/>
        </w:rPr>
      </w:pPr>
      <w:r>
        <w:rPr>
          <w:rFonts w:hint="eastAsia" w:ascii="仿宋" w:hAnsi="仿宋"/>
          <w:bCs/>
          <w:kern w:val="0"/>
        </w:rPr>
        <w:t>看跌期权的内涵价值</w:t>
      </w:r>
      <w:r>
        <w:rPr>
          <w:rFonts w:ascii="仿宋" w:hAnsi="仿宋"/>
          <w:bCs/>
          <w:kern w:val="0"/>
        </w:rPr>
        <w:t>=执行价格-标的物的市场价格</w:t>
      </w:r>
    </w:p>
    <w:p>
      <w:pPr>
        <w:spacing w:line="360" w:lineRule="auto"/>
        <w:ind w:firstLine="480" w:firstLineChars="200"/>
        <w:rPr>
          <w:rFonts w:ascii="仿宋" w:hAnsi="仿宋"/>
          <w:bCs/>
          <w:kern w:val="0"/>
        </w:rPr>
      </w:pPr>
      <w:r>
        <w:rPr>
          <w:rFonts w:hint="eastAsia" w:ascii="仿宋" w:hAnsi="仿宋"/>
          <w:bCs/>
          <w:kern w:val="0"/>
        </w:rPr>
        <w:t>如果计算结果小于</w:t>
      </w:r>
      <w:r>
        <w:rPr>
          <w:rFonts w:ascii="仿宋" w:hAnsi="仿宋"/>
          <w:bCs/>
          <w:kern w:val="0"/>
        </w:rPr>
        <w:t>0，则内涵价值等于0。所以，期权的内涵价值总是大于等于0。</w:t>
      </w:r>
    </w:p>
    <w:p>
      <w:pPr>
        <w:spacing w:line="360" w:lineRule="auto"/>
        <w:ind w:firstLine="480" w:firstLineChars="200"/>
        <w:rPr>
          <w:rFonts w:ascii="仿宋" w:hAnsi="仿宋"/>
          <w:bCs/>
          <w:kern w:val="0"/>
        </w:rPr>
      </w:pPr>
      <w:r>
        <w:rPr>
          <w:rFonts w:ascii="仿宋" w:hAnsi="仿宋"/>
          <w:bCs/>
          <w:kern w:val="0"/>
        </w:rPr>
        <w:t>3</w:t>
      </w:r>
      <w:r>
        <w:rPr>
          <w:rFonts w:hint="eastAsia" w:ascii="仿宋" w:hAnsi="仿宋"/>
          <w:bCs/>
          <w:kern w:val="0"/>
        </w:rPr>
        <w:t>、</w:t>
      </w:r>
      <w:r>
        <w:rPr>
          <w:rFonts w:ascii="仿宋" w:hAnsi="仿宋"/>
          <w:bCs/>
          <w:kern w:val="0"/>
        </w:rPr>
        <w:t>实值期权、</w:t>
      </w:r>
      <w:r>
        <w:rPr>
          <w:rFonts w:hint="eastAsia" w:ascii="仿宋" w:hAnsi="仿宋"/>
          <w:bCs/>
          <w:kern w:val="0"/>
        </w:rPr>
        <w:t>虚值期权和平值期权的含义</w:t>
      </w:r>
    </w:p>
    <w:p>
      <w:pPr>
        <w:spacing w:line="360" w:lineRule="auto"/>
        <w:ind w:firstLine="480" w:firstLineChars="200"/>
        <w:rPr>
          <w:rFonts w:ascii="仿宋" w:hAnsi="仿宋"/>
          <w:bCs/>
          <w:kern w:val="0"/>
        </w:rPr>
      </w:pPr>
      <w:r>
        <w:rPr>
          <w:rFonts w:hint="eastAsia" w:ascii="仿宋" w:hAnsi="仿宋"/>
          <w:bCs/>
          <w:kern w:val="0"/>
        </w:rPr>
        <w:t>按照期权执行期权所获得的收益情况的不同，可将期权分为实值期权、虚值期权和平值期权。</w:t>
      </w:r>
    </w:p>
    <w:p>
      <w:pPr>
        <w:spacing w:line="360" w:lineRule="auto"/>
        <w:ind w:firstLine="480" w:firstLineChars="200"/>
        <w:rPr>
          <w:rFonts w:ascii="仿宋" w:hAnsi="仿宋"/>
          <w:bCs/>
          <w:kern w:val="0"/>
        </w:rPr>
      </w:pPr>
      <w:r>
        <w:rPr>
          <w:rFonts w:hint="eastAsia" w:ascii="仿宋" w:hAnsi="仿宋"/>
          <w:bCs/>
          <w:kern w:val="0"/>
        </w:rPr>
        <w:t>实值期权（</w:t>
      </w:r>
      <w:r>
        <w:rPr>
          <w:rFonts w:ascii="仿宋" w:hAnsi="仿宋"/>
          <w:bCs/>
          <w:kern w:val="0"/>
        </w:rPr>
        <w:t>In–the-money options），也称期权处于实值状态，是指</w:t>
      </w:r>
      <w:r>
        <w:rPr>
          <w:rFonts w:hint="eastAsia" w:ascii="仿宋" w:hAnsi="仿宋"/>
          <w:bCs/>
          <w:kern w:val="0"/>
        </w:rPr>
        <w:t>内涵价值大于</w:t>
      </w:r>
      <w:r>
        <w:rPr>
          <w:rFonts w:ascii="仿宋" w:hAnsi="仿宋"/>
          <w:bCs/>
          <w:kern w:val="0"/>
        </w:rPr>
        <w:t>0的期权</w:t>
      </w:r>
      <w:r>
        <w:rPr>
          <w:rFonts w:hint="eastAsia" w:ascii="仿宋" w:hAnsi="仿宋"/>
          <w:bCs/>
          <w:kern w:val="0"/>
        </w:rPr>
        <w:t>。对于实值期权，看涨期权的执行价格低于其标的物市场价格、看跌期权的执行价格高于其标的物的市场价格。</w:t>
      </w:r>
    </w:p>
    <w:p>
      <w:pPr>
        <w:spacing w:line="360" w:lineRule="auto"/>
        <w:ind w:firstLine="480" w:firstLineChars="200"/>
        <w:rPr>
          <w:rFonts w:ascii="仿宋" w:hAnsi="仿宋"/>
          <w:bCs/>
          <w:kern w:val="0"/>
        </w:rPr>
      </w:pPr>
      <w:r>
        <w:rPr>
          <w:rFonts w:hint="eastAsia" w:ascii="仿宋" w:hAnsi="仿宋"/>
          <w:bCs/>
          <w:kern w:val="0"/>
        </w:rPr>
        <w:t>虚值期权（</w:t>
      </w:r>
      <w:r>
        <w:rPr>
          <w:rFonts w:ascii="仿宋" w:hAnsi="仿宋"/>
          <w:bCs/>
          <w:kern w:val="0"/>
        </w:rPr>
        <w:t>Out-of–the-money options），也称期权</w:t>
      </w:r>
      <w:r>
        <w:rPr>
          <w:rFonts w:hint="eastAsia" w:ascii="仿宋" w:hAnsi="仿宋"/>
          <w:bCs/>
          <w:kern w:val="0"/>
        </w:rPr>
        <w:t>处于虚值状态。是指内涵价值计算结果小于</w:t>
      </w:r>
      <w:r>
        <w:rPr>
          <w:rFonts w:ascii="仿宋" w:hAnsi="仿宋"/>
          <w:bCs/>
          <w:kern w:val="0"/>
        </w:rPr>
        <w:t>0的期权，</w:t>
      </w:r>
      <w:r>
        <w:rPr>
          <w:rFonts w:hint="eastAsia" w:ascii="仿宋" w:hAnsi="仿宋"/>
          <w:bCs/>
          <w:kern w:val="0"/>
        </w:rPr>
        <w:t>虚值期权的内涵价值等于</w:t>
      </w:r>
      <w:r>
        <w:rPr>
          <w:rFonts w:ascii="仿宋" w:hAnsi="仿宋"/>
          <w:bCs/>
          <w:kern w:val="0"/>
        </w:rPr>
        <w:t>0。</w:t>
      </w:r>
      <w:r>
        <w:rPr>
          <w:rFonts w:hint="eastAsia" w:ascii="仿宋" w:hAnsi="仿宋"/>
          <w:bCs/>
          <w:kern w:val="0"/>
        </w:rPr>
        <w:t>对于虚值期权，看涨期权的执行价格高于其标的物的市场价格，看跌期权的执行价格低于其标的物市场价格。</w:t>
      </w:r>
    </w:p>
    <w:p>
      <w:pPr>
        <w:spacing w:line="360" w:lineRule="auto"/>
        <w:ind w:firstLine="480" w:firstLineChars="200"/>
        <w:rPr>
          <w:rFonts w:ascii="仿宋" w:hAnsi="仿宋"/>
          <w:bCs/>
          <w:kern w:val="0"/>
        </w:rPr>
      </w:pPr>
      <w:r>
        <w:rPr>
          <w:rFonts w:hint="eastAsia" w:ascii="仿宋" w:hAnsi="仿宋"/>
          <w:bCs/>
          <w:kern w:val="0"/>
        </w:rPr>
        <w:t>平值期权（</w:t>
      </w:r>
      <w:r>
        <w:rPr>
          <w:rFonts w:ascii="仿宋" w:hAnsi="仿宋"/>
          <w:bCs/>
          <w:kern w:val="0"/>
        </w:rPr>
        <w:t>At–the-money options），也称期权处于平值状态，是指</w:t>
      </w:r>
      <w:r>
        <w:rPr>
          <w:rFonts w:hint="eastAsia" w:ascii="仿宋" w:hAnsi="仿宋"/>
          <w:bCs/>
          <w:kern w:val="0"/>
        </w:rPr>
        <w:t>内涵价值的计算结果和内涵价值均等于</w:t>
      </w:r>
      <w:r>
        <w:rPr>
          <w:rFonts w:ascii="仿宋" w:hAnsi="仿宋"/>
          <w:bCs/>
          <w:kern w:val="0"/>
        </w:rPr>
        <w:t>0的期权</w:t>
      </w:r>
      <w:r>
        <w:rPr>
          <w:rFonts w:hint="eastAsia" w:ascii="仿宋" w:hAnsi="仿宋"/>
          <w:bCs/>
          <w:kern w:val="0"/>
        </w:rPr>
        <w:t>。对于平值期权，期权的执行价格等于其标的物的市场价格。</w:t>
      </w:r>
    </w:p>
    <w:p>
      <w:pPr>
        <w:spacing w:line="360" w:lineRule="auto"/>
        <w:ind w:firstLine="480" w:firstLineChars="200"/>
        <w:rPr>
          <w:rFonts w:ascii="仿宋" w:hAnsi="仿宋"/>
          <w:bCs/>
          <w:kern w:val="0"/>
        </w:rPr>
      </w:pPr>
      <w:r>
        <w:rPr>
          <w:rFonts w:ascii="仿宋" w:hAnsi="仿宋"/>
          <w:bCs/>
          <w:kern w:val="0"/>
        </w:rPr>
        <w:t>4</w:t>
      </w:r>
      <w:r>
        <w:rPr>
          <w:rFonts w:hint="eastAsia" w:ascii="仿宋" w:hAnsi="仿宋"/>
          <w:bCs/>
          <w:kern w:val="0"/>
        </w:rPr>
        <w:t>、</w:t>
      </w:r>
      <w:r>
        <w:rPr>
          <w:rFonts w:ascii="仿宋" w:hAnsi="仿宋"/>
          <w:bCs/>
          <w:kern w:val="0"/>
        </w:rPr>
        <w:t>期权价格的影响因素及主要因素对期权价格的影响</w:t>
      </w:r>
    </w:p>
    <w:p>
      <w:pPr>
        <w:spacing w:line="360" w:lineRule="auto"/>
        <w:ind w:firstLine="480" w:firstLineChars="200"/>
        <w:rPr>
          <w:rFonts w:ascii="仿宋" w:hAnsi="仿宋"/>
          <w:bCs/>
          <w:kern w:val="0"/>
        </w:rPr>
      </w:pPr>
      <w:r>
        <w:rPr>
          <w:rFonts w:hint="eastAsia" w:ascii="仿宋" w:hAnsi="仿宋"/>
          <w:bCs/>
          <w:kern w:val="0"/>
        </w:rPr>
        <w:t>影响期权价格的主要因素，包括标的物市场价格和执行价格、标的物市场价格波动率、期权的剩余有效期限、无风险利率等。</w:t>
      </w:r>
    </w:p>
    <w:p>
      <w:pPr>
        <w:autoSpaceDE w:val="0"/>
        <w:autoSpaceDN w:val="0"/>
        <w:adjustRightInd w:val="0"/>
        <w:spacing w:line="360" w:lineRule="auto"/>
        <w:ind w:firstLine="480" w:firstLineChars="200"/>
        <w:jc w:val="left"/>
        <w:rPr>
          <w:rFonts w:ascii="仿宋" w:hAnsi="仿宋"/>
          <w:bCs/>
          <w:kern w:val="0"/>
        </w:rPr>
      </w:pPr>
      <w:r>
        <w:rPr>
          <w:rFonts w:hint="eastAsia" w:ascii="仿宋" w:hAnsi="仿宋"/>
          <w:bCs/>
          <w:kern w:val="0"/>
        </w:rPr>
        <w:t>期权的执行价格与标的物的市场价格是影响期权价格的重要因素。两种价格的相对差额不仅决定着内涵价值，而且影响着时间价值。</w:t>
      </w:r>
    </w:p>
    <w:p>
      <w:pPr>
        <w:autoSpaceDE w:val="0"/>
        <w:autoSpaceDN w:val="0"/>
        <w:adjustRightInd w:val="0"/>
        <w:spacing w:line="360" w:lineRule="auto"/>
        <w:ind w:firstLine="480" w:firstLineChars="200"/>
        <w:jc w:val="left"/>
        <w:rPr>
          <w:rFonts w:ascii="仿宋" w:hAnsi="仿宋"/>
          <w:bCs/>
          <w:kern w:val="0"/>
        </w:rPr>
      </w:pPr>
      <w:r>
        <w:rPr>
          <w:rFonts w:hint="eastAsia" w:ascii="仿宋" w:hAnsi="仿宋"/>
          <w:bCs/>
          <w:kern w:val="0"/>
        </w:rPr>
        <w:t>执行价格与市场价格的相对差额决定了内涵价值的有无及其大小。就看涨期权而言，市场价格较执行价格高时，期权具有内涵价值，高出越多，内涵价值越大；当市场价格等于或低于执行价格时，内涵价值为</w:t>
      </w:r>
      <w:r>
        <w:rPr>
          <w:rFonts w:ascii="仿宋" w:hAnsi="仿宋"/>
          <w:bCs/>
          <w:kern w:val="0"/>
        </w:rPr>
        <w:t>0。就看跌期权而言，市场价格</w:t>
      </w:r>
      <w:r>
        <w:rPr>
          <w:rFonts w:hint="eastAsia" w:ascii="仿宋" w:hAnsi="仿宋"/>
          <w:bCs/>
          <w:kern w:val="0"/>
        </w:rPr>
        <w:t>较执行价格低时，期权具有内涵价值，低得越多，内涵价值越大；当市场价格等于或高于执行价格时，内涵价值为</w:t>
      </w:r>
      <w:r>
        <w:rPr>
          <w:rFonts w:ascii="仿宋" w:hAnsi="仿宋"/>
          <w:bCs/>
          <w:kern w:val="0"/>
        </w:rPr>
        <w:t>0。</w:t>
      </w:r>
    </w:p>
    <w:p>
      <w:pPr>
        <w:spacing w:line="360" w:lineRule="auto"/>
        <w:ind w:firstLine="480" w:firstLineChars="200"/>
        <w:rPr>
          <w:rFonts w:ascii="仿宋" w:hAnsi="仿宋"/>
          <w:bCs/>
          <w:kern w:val="0"/>
        </w:rPr>
      </w:pPr>
      <w:r>
        <w:rPr>
          <w:rFonts w:hint="eastAsia" w:ascii="仿宋" w:hAnsi="仿宋"/>
          <w:bCs/>
          <w:kern w:val="0"/>
        </w:rPr>
        <w:t>标的物市场价格波动率是指标的物市场价格的波动程度，它是期权定价模型中的重要变量。</w:t>
      </w:r>
    </w:p>
    <w:p>
      <w:pPr>
        <w:spacing w:line="360" w:lineRule="auto"/>
        <w:ind w:firstLine="480" w:firstLineChars="200"/>
        <w:rPr>
          <w:rFonts w:ascii="仿宋" w:hAnsi="仿宋"/>
          <w:bCs/>
          <w:kern w:val="0"/>
        </w:rPr>
      </w:pPr>
      <w:r>
        <w:rPr>
          <w:rFonts w:hint="eastAsia" w:ascii="仿宋" w:hAnsi="仿宋"/>
          <w:bCs/>
          <w:kern w:val="0"/>
        </w:rPr>
        <w:t>无论看涨期权还是看跌期权，在其他因素不变的条件下，标的物市场价格波动率越高，期权的价格也应该越高。</w:t>
      </w:r>
    </w:p>
    <w:p>
      <w:pPr>
        <w:spacing w:line="360" w:lineRule="auto"/>
        <w:ind w:firstLine="480" w:firstLineChars="200"/>
        <w:rPr>
          <w:rFonts w:ascii="仿宋" w:hAnsi="仿宋"/>
          <w:bCs/>
          <w:kern w:val="0"/>
        </w:rPr>
      </w:pPr>
    </w:p>
    <w:p>
      <w:pPr>
        <w:pStyle w:val="4"/>
        <w:spacing w:before="0" w:after="0" w:line="360" w:lineRule="auto"/>
        <w:rPr>
          <w:rFonts w:ascii="仿宋" w:hAnsi="仿宋"/>
          <w:szCs w:val="24"/>
        </w:rPr>
      </w:pPr>
      <w:bookmarkStart w:id="108" w:name="_Toc445043890"/>
      <w:bookmarkStart w:id="109" w:name="_Toc3896716"/>
      <w:r>
        <w:rPr>
          <w:rFonts w:hint="eastAsia" w:ascii="仿宋" w:hAnsi="仿宋"/>
          <w:szCs w:val="24"/>
        </w:rPr>
        <w:t>（四）期权</w:t>
      </w:r>
      <w:bookmarkEnd w:id="108"/>
      <w:r>
        <w:rPr>
          <w:rFonts w:hint="eastAsia" w:ascii="仿宋" w:hAnsi="仿宋"/>
          <w:szCs w:val="24"/>
        </w:rPr>
        <w:t>交易的基本策略</w:t>
      </w:r>
      <w:bookmarkEnd w:id="109"/>
    </w:p>
    <w:p>
      <w:pPr>
        <w:spacing w:line="360" w:lineRule="auto"/>
        <w:ind w:firstLine="480" w:firstLineChars="200"/>
        <w:rPr>
          <w:rFonts w:ascii="仿宋" w:hAnsi="仿宋"/>
          <w:bCs/>
          <w:kern w:val="0"/>
        </w:rPr>
      </w:pPr>
      <w:r>
        <w:rPr>
          <w:rFonts w:ascii="仿宋" w:hAnsi="仿宋"/>
          <w:bCs/>
          <w:kern w:val="0"/>
        </w:rPr>
        <w:t>1</w:t>
      </w:r>
      <w:r>
        <w:rPr>
          <w:rFonts w:hint="eastAsia" w:ascii="仿宋" w:hAnsi="仿宋"/>
          <w:bCs/>
          <w:kern w:val="0"/>
        </w:rPr>
        <w:t>、</w:t>
      </w:r>
      <w:r>
        <w:rPr>
          <w:rFonts w:ascii="仿宋" w:hAnsi="仿宋"/>
          <w:bCs/>
          <w:kern w:val="0"/>
        </w:rPr>
        <w:t>看涨期权多头损益分析</w:t>
      </w:r>
    </w:p>
    <w:p>
      <w:pPr>
        <w:spacing w:line="360" w:lineRule="auto"/>
        <w:ind w:firstLine="480" w:firstLineChars="200"/>
        <w:rPr>
          <w:rFonts w:ascii="仿宋" w:hAnsi="仿宋"/>
          <w:bCs/>
          <w:kern w:val="0"/>
        </w:rPr>
      </w:pPr>
      <w:r>
        <w:rPr>
          <w:rFonts w:hint="eastAsia" w:ascii="仿宋" w:hAnsi="仿宋"/>
          <w:bCs/>
          <w:kern w:val="0"/>
        </w:rPr>
        <w:t>买进看涨期权的最大损益结果或到期时的损益状况参见图</w:t>
      </w:r>
      <w:r>
        <w:rPr>
          <w:rFonts w:ascii="仿宋" w:hAnsi="仿宋"/>
          <w:bCs/>
          <w:kern w:val="0"/>
        </w:rPr>
        <w:t>1。</w:t>
      </w:r>
    </w:p>
    <w:p>
      <w:pPr>
        <w:spacing w:line="360" w:lineRule="auto"/>
        <w:ind w:firstLine="480" w:firstLineChars="200"/>
        <w:rPr>
          <w:rFonts w:ascii="仿宋" w:hAnsi="仿宋"/>
          <w:bCs/>
          <w:kern w:val="0"/>
        </w:rPr>
      </w:pPr>
      <w:r>
        <mc:AlternateContent>
          <mc:Choice Requires="wpg">
            <w:drawing>
              <wp:anchor distT="0" distB="0" distL="114300" distR="114300" simplePos="0" relativeHeight="251658240" behindDoc="0" locked="0" layoutInCell="1" allowOverlap="1">
                <wp:simplePos x="0" y="0"/>
                <wp:positionH relativeFrom="column">
                  <wp:posOffset>334645</wp:posOffset>
                </wp:positionH>
                <wp:positionV relativeFrom="paragraph">
                  <wp:posOffset>8255</wp:posOffset>
                </wp:positionV>
                <wp:extent cx="3295650" cy="2378710"/>
                <wp:effectExtent l="0" t="0" r="0" b="2540"/>
                <wp:wrapNone/>
                <wp:docPr id="51" name="Group 560"/>
                <wp:cNvGraphicFramePr/>
                <a:graphic xmlns:a="http://schemas.openxmlformats.org/drawingml/2006/main">
                  <a:graphicData uri="http://schemas.microsoft.com/office/word/2010/wordprocessingGroup">
                    <wpg:wgp>
                      <wpg:cNvGrpSpPr/>
                      <wpg:grpSpPr>
                        <a:xfrm>
                          <a:off x="0" y="0"/>
                          <a:ext cx="3295650" cy="2378710"/>
                          <a:chOff x="0" y="0"/>
                          <a:chExt cx="4500" cy="3746"/>
                        </a:xfrm>
                      </wpg:grpSpPr>
                      <wps:wsp>
                        <wps:cNvPr id="52" name="Text Box 3"/>
                        <wps:cNvSpPr txBox="1">
                          <a:spLocks noChangeArrowheads="1"/>
                        </wps:cNvSpPr>
                        <wps:spPr bwMode="auto">
                          <a:xfrm>
                            <a:off x="180" y="0"/>
                            <a:ext cx="840" cy="468"/>
                          </a:xfrm>
                          <a:prstGeom prst="rect">
                            <a:avLst/>
                          </a:prstGeom>
                          <a:solidFill>
                            <a:srgbClr val="FFFFFF"/>
                          </a:solidFill>
                          <a:ln>
                            <a:noFill/>
                          </a:ln>
                        </wps:spPr>
                        <wps:txbx>
                          <w:txbxContent>
                            <w:p>
                              <w:pPr>
                                <w:rPr>
                                  <w:sz w:val="18"/>
                                </w:rPr>
                              </w:pPr>
                              <w:r>
                                <w:rPr>
                                  <w:rFonts w:hint="eastAsia"/>
                                  <w:sz w:val="18"/>
                                </w:rPr>
                                <w:t>损益</w:t>
                              </w:r>
                            </w:p>
                          </w:txbxContent>
                        </wps:txbx>
                        <wps:bodyPr rot="0" vert="horz" wrap="square" lIns="91440" tIns="45720" rIns="91440" bIns="45720" anchor="t" anchorCtr="0" upright="1">
                          <a:noAutofit/>
                        </wps:bodyPr>
                      </wps:wsp>
                      <wpg:grpSp>
                        <wpg:cNvPr id="53" name="Group 4"/>
                        <wpg:cNvGrpSpPr/>
                        <wpg:grpSpPr>
                          <a:xfrm>
                            <a:off x="180" y="468"/>
                            <a:ext cx="4320" cy="3278"/>
                            <a:chOff x="0" y="0"/>
                            <a:chExt cx="4320" cy="3278"/>
                          </a:xfrm>
                        </wpg:grpSpPr>
                        <wps:wsp>
                          <wps:cNvPr id="54" name="Line 5"/>
                          <wps:cNvCnPr>
                            <a:cxnSpLocks noChangeShapeType="1"/>
                          </wps:cNvCnPr>
                          <wps:spPr bwMode="auto">
                            <a:xfrm flipV="1">
                              <a:off x="360" y="1404"/>
                              <a:ext cx="3420" cy="24"/>
                            </a:xfrm>
                            <a:prstGeom prst="line">
                              <a:avLst/>
                            </a:prstGeom>
                            <a:noFill/>
                            <a:ln w="9525">
                              <a:solidFill>
                                <a:srgbClr val="545472"/>
                              </a:solidFill>
                              <a:round/>
                              <a:tailEnd type="triangle" w="med" len="med"/>
                            </a:ln>
                            <a:effectLst/>
                          </wps:spPr>
                          <wps:bodyPr/>
                        </wps:wsp>
                        <wps:wsp>
                          <wps:cNvPr id="55" name="Line 6"/>
                          <wps:cNvCnPr>
                            <a:cxnSpLocks noChangeShapeType="1"/>
                          </wps:cNvCnPr>
                          <wps:spPr bwMode="auto">
                            <a:xfrm flipV="1">
                              <a:off x="360" y="0"/>
                              <a:ext cx="0" cy="2808"/>
                            </a:xfrm>
                            <a:prstGeom prst="line">
                              <a:avLst/>
                            </a:prstGeom>
                            <a:noFill/>
                            <a:ln w="9525">
                              <a:solidFill>
                                <a:srgbClr val="545472"/>
                              </a:solidFill>
                              <a:round/>
                              <a:tailEnd type="triangle" w="med" len="med"/>
                            </a:ln>
                            <a:effectLst/>
                          </wps:spPr>
                          <wps:bodyPr/>
                        </wps:wsp>
                        <wps:wsp>
                          <wps:cNvPr id="56" name="Text Box 7"/>
                          <wps:cNvSpPr txBox="1">
                            <a:spLocks noChangeArrowheads="1"/>
                          </wps:cNvSpPr>
                          <wps:spPr bwMode="auto">
                            <a:xfrm>
                              <a:off x="0" y="1248"/>
                              <a:ext cx="300" cy="390"/>
                            </a:xfrm>
                            <a:prstGeom prst="rect">
                              <a:avLst/>
                            </a:prstGeom>
                            <a:solidFill>
                              <a:srgbClr val="FFFFFF"/>
                            </a:solidFill>
                            <a:ln>
                              <a:noFill/>
                            </a:ln>
                          </wps:spPr>
                          <wps:txbx>
                            <w:txbxContent>
                              <w:p>
                                <w:r>
                                  <w:rPr>
                                    <w:rFonts w:hint="eastAsia"/>
                                  </w:rPr>
                                  <w:t>0</w:t>
                                </w:r>
                              </w:p>
                            </w:txbxContent>
                          </wps:txbx>
                          <wps:bodyPr rot="0" vert="horz" wrap="square" lIns="91440" tIns="45720" rIns="91440" bIns="45720" anchor="t" anchorCtr="0" upright="1">
                            <a:noAutofit/>
                          </wps:bodyPr>
                        </wps:wsp>
                        <wps:wsp>
                          <wps:cNvPr id="57" name="Text Box 8"/>
                          <wps:cNvSpPr txBox="1">
                            <a:spLocks noChangeArrowheads="1"/>
                          </wps:cNvSpPr>
                          <wps:spPr bwMode="auto">
                            <a:xfrm>
                              <a:off x="0" y="2808"/>
                              <a:ext cx="3420" cy="470"/>
                            </a:xfrm>
                            <a:prstGeom prst="rect">
                              <a:avLst/>
                            </a:prstGeom>
                            <a:solidFill>
                              <a:srgbClr val="FFFFFF"/>
                            </a:solidFill>
                            <a:ln>
                              <a:noFill/>
                            </a:ln>
                          </wps:spPr>
                          <wps:txbx>
                            <w:txbxContent>
                              <w:p>
                                <w:pPr>
                                  <w:ind w:firstLine="360" w:firstLineChars="200"/>
                                  <w:rPr>
                                    <w:sz w:val="18"/>
                                  </w:rPr>
                                </w:pPr>
                                <w:r>
                                  <w:rPr>
                                    <w:rFonts w:hint="eastAsia"/>
                                    <w:sz w:val="18"/>
                                  </w:rPr>
                                  <w:t xml:space="preserve">  图1  看涨期权多头到期时损益状态</w:t>
                                </w:r>
                              </w:p>
                            </w:txbxContent>
                          </wps:txbx>
                          <wps:bodyPr rot="0" vert="horz" wrap="square" lIns="91440" tIns="45720" rIns="91440" bIns="45720" anchor="t" anchorCtr="0" upright="1">
                            <a:spAutoFit/>
                          </wps:bodyPr>
                        </wps:wsp>
                        <wps:wsp>
                          <wps:cNvPr id="58" name="Text Box 9"/>
                          <wps:cNvSpPr txBox="1">
                            <a:spLocks noChangeArrowheads="1"/>
                          </wps:cNvSpPr>
                          <wps:spPr bwMode="auto">
                            <a:xfrm>
                              <a:off x="3780" y="1092"/>
                              <a:ext cx="540" cy="468"/>
                            </a:xfrm>
                            <a:prstGeom prst="rect">
                              <a:avLst/>
                            </a:prstGeom>
                            <a:solidFill>
                              <a:srgbClr val="FFFFFF"/>
                            </a:solidFill>
                            <a:ln>
                              <a:noFill/>
                            </a:ln>
                          </wps:spPr>
                          <wps:txbx>
                            <w:txbxContent>
                              <w:p>
                                <w:pPr>
                                  <w:rPr>
                                    <w:sz w:val="18"/>
                                  </w:rPr>
                                </w:pPr>
                                <w:r>
                                  <w:rPr>
                                    <w:rFonts w:hint="eastAsia"/>
                                    <w:sz w:val="18"/>
                                  </w:rPr>
                                  <w:t>S</w:t>
                                </w:r>
                              </w:p>
                            </w:txbxContent>
                          </wps:txbx>
                          <wps:bodyPr rot="0" vert="horz" wrap="square" lIns="91440" tIns="45720" rIns="91440" bIns="45720" anchor="t" anchorCtr="0" upright="1">
                            <a:noAutofit/>
                          </wps:bodyPr>
                        </wps:wsp>
                      </wpg:grpSp>
                      <wpg:grpSp>
                        <wpg:cNvPr id="59" name="Group 10"/>
                        <wpg:cNvGrpSpPr/>
                        <wpg:grpSpPr>
                          <a:xfrm>
                            <a:off x="0" y="624"/>
                            <a:ext cx="3780" cy="2262"/>
                            <a:chOff x="0" y="0"/>
                            <a:chExt cx="3780" cy="2262"/>
                          </a:xfrm>
                        </wpg:grpSpPr>
                        <wpg:grpSp>
                          <wpg:cNvPr id="60" name="Group 11"/>
                          <wpg:cNvGrpSpPr/>
                          <wpg:grpSpPr>
                            <a:xfrm>
                              <a:off x="0" y="0"/>
                              <a:ext cx="3780" cy="2262"/>
                              <a:chOff x="0" y="0"/>
                              <a:chExt cx="3780" cy="2262"/>
                            </a:xfrm>
                          </wpg:grpSpPr>
                          <wps:wsp>
                            <wps:cNvPr id="61" name="Text Box 12"/>
                            <wps:cNvSpPr txBox="1">
                              <a:spLocks noChangeArrowheads="1"/>
                            </wps:cNvSpPr>
                            <wps:spPr bwMode="auto">
                              <a:xfrm>
                                <a:off x="0" y="1716"/>
                                <a:ext cx="540" cy="390"/>
                              </a:xfrm>
                              <a:prstGeom prst="rect">
                                <a:avLst/>
                              </a:prstGeom>
                              <a:solidFill>
                                <a:srgbClr val="FFFFFF"/>
                              </a:solidFill>
                              <a:ln>
                                <a:noFill/>
                              </a:ln>
                            </wps:spPr>
                            <wps:txbx>
                              <w:txbxContent>
                                <w:p>
                                  <w:pPr>
                                    <w:rPr>
                                      <w:sz w:val="18"/>
                                    </w:rPr>
                                  </w:pPr>
                                  <w:r>
                                    <w:rPr>
                                      <w:rFonts w:hint="eastAsia"/>
                                      <w:sz w:val="18"/>
                                    </w:rPr>
                                    <w:t>-C</w:t>
                                  </w:r>
                                </w:p>
                              </w:txbxContent>
                            </wps:txbx>
                            <wps:bodyPr rot="0" vert="horz" wrap="square" lIns="91440" tIns="45720" rIns="91440" bIns="45720" anchor="t" anchorCtr="0" upright="1">
                              <a:noAutofit/>
                            </wps:bodyPr>
                          </wps:wsp>
                          <wpg:grpSp>
                            <wpg:cNvPr id="62" name="Group 13"/>
                            <wpg:cNvGrpSpPr/>
                            <wpg:grpSpPr>
                              <a:xfrm>
                                <a:off x="540" y="0"/>
                                <a:ext cx="3240" cy="2262"/>
                                <a:chOff x="0" y="0"/>
                                <a:chExt cx="3240" cy="2262"/>
                              </a:xfrm>
                            </wpg:grpSpPr>
                            <wps:wsp>
                              <wps:cNvPr id="63" name="Text Box 14"/>
                              <wps:cNvSpPr txBox="1">
                                <a:spLocks noChangeArrowheads="1"/>
                              </wps:cNvSpPr>
                              <wps:spPr bwMode="auto">
                                <a:xfrm>
                                  <a:off x="1620" y="1872"/>
                                  <a:ext cx="300" cy="390"/>
                                </a:xfrm>
                                <a:prstGeom prst="rect">
                                  <a:avLst/>
                                </a:prstGeom>
                                <a:solidFill>
                                  <a:srgbClr val="FFFFFF"/>
                                </a:solidFill>
                                <a:ln>
                                  <a:noFill/>
                                </a:ln>
                              </wps:spPr>
                              <wps:txbx>
                                <w:txbxContent>
                                  <w:p>
                                    <w:pPr>
                                      <w:rPr>
                                        <w:sz w:val="18"/>
                                      </w:rPr>
                                    </w:pPr>
                                    <w:r>
                                      <w:rPr>
                                        <w:rFonts w:hint="eastAsia"/>
                                        <w:sz w:val="18"/>
                                      </w:rPr>
                                      <w:t>X</w:t>
                                    </w:r>
                                  </w:p>
                                </w:txbxContent>
                              </wps:txbx>
                              <wps:bodyPr rot="0" vert="horz" wrap="square" lIns="91440" tIns="45720" rIns="91440" bIns="45720" anchor="t" anchorCtr="0" upright="1">
                                <a:noAutofit/>
                              </wps:bodyPr>
                            </wps:wsp>
                            <wps:wsp>
                              <wps:cNvPr id="64" name="Line 15"/>
                              <wps:cNvCnPr>
                                <a:cxnSpLocks noChangeShapeType="1"/>
                              </wps:cNvCnPr>
                              <wps:spPr bwMode="auto">
                                <a:xfrm flipV="1">
                                  <a:off x="0" y="1872"/>
                                  <a:ext cx="1800" cy="1"/>
                                </a:xfrm>
                                <a:prstGeom prst="line">
                                  <a:avLst/>
                                </a:prstGeom>
                                <a:noFill/>
                                <a:ln w="19050">
                                  <a:solidFill>
                                    <a:srgbClr val="000000"/>
                                  </a:solidFill>
                                  <a:round/>
                                </a:ln>
                                <a:effectLst/>
                              </wps:spPr>
                              <wps:bodyPr/>
                            </wps:wsp>
                            <wps:wsp>
                              <wps:cNvPr id="65" name="Line 16"/>
                              <wps:cNvCnPr>
                                <a:cxnSpLocks noChangeShapeType="1"/>
                              </wps:cNvCnPr>
                              <wps:spPr bwMode="auto">
                                <a:xfrm flipV="1">
                                  <a:off x="1800" y="312"/>
                                  <a:ext cx="1440" cy="1560"/>
                                </a:xfrm>
                                <a:prstGeom prst="line">
                                  <a:avLst/>
                                </a:prstGeom>
                                <a:noFill/>
                                <a:ln w="19050">
                                  <a:solidFill>
                                    <a:srgbClr val="000000"/>
                                  </a:solidFill>
                                  <a:round/>
                                </a:ln>
                                <a:effectLst/>
                              </wps:spPr>
                              <wps:bodyPr/>
                            </wps:wsp>
                            <wpg:grpSp>
                              <wpg:cNvPr id="66" name="Group 17"/>
                              <wpg:cNvGrpSpPr/>
                              <wpg:grpSpPr>
                                <a:xfrm>
                                  <a:off x="180" y="0"/>
                                  <a:ext cx="2160" cy="1248"/>
                                  <a:chOff x="0" y="0"/>
                                  <a:chExt cx="2160" cy="1248"/>
                                </a:xfrm>
                              </wpg:grpSpPr>
                              <wps:wsp>
                                <wps:cNvPr id="67" name="Line 18"/>
                                <wps:cNvCnPr>
                                  <a:cxnSpLocks noChangeShapeType="1"/>
                                </wps:cNvCnPr>
                                <wps:spPr bwMode="auto">
                                  <a:xfrm>
                                    <a:off x="1440" y="468"/>
                                    <a:ext cx="720" cy="780"/>
                                  </a:xfrm>
                                  <a:prstGeom prst="line">
                                    <a:avLst/>
                                  </a:prstGeom>
                                  <a:noFill/>
                                  <a:ln w="9525">
                                    <a:solidFill>
                                      <a:srgbClr val="000000"/>
                                    </a:solidFill>
                                    <a:prstDash val="lgDash"/>
                                    <a:round/>
                                  </a:ln>
                                </wps:spPr>
                                <wps:bodyPr/>
                              </wps:wsp>
                              <wps:wsp>
                                <wps:cNvPr id="68" name="Text Box 19"/>
                                <wps:cNvSpPr txBox="1">
                                  <a:spLocks noChangeArrowheads="1"/>
                                </wps:cNvSpPr>
                                <wps:spPr bwMode="auto">
                                  <a:xfrm>
                                    <a:off x="0" y="0"/>
                                    <a:ext cx="2100" cy="390"/>
                                  </a:xfrm>
                                  <a:prstGeom prst="rect">
                                    <a:avLst/>
                                  </a:prstGeom>
                                  <a:solidFill>
                                    <a:srgbClr val="FFFFFF"/>
                                  </a:solidFill>
                                  <a:ln>
                                    <a:noFill/>
                                  </a:ln>
                                </wps:spPr>
                                <wps:txbx>
                                  <w:txbxContent>
                                    <w:p>
                                      <w:pPr>
                                        <w:rPr>
                                          <w:sz w:val="18"/>
                                        </w:rPr>
                                      </w:pPr>
                                      <w:r>
                                        <w:rPr>
                                          <w:rFonts w:hint="eastAsia"/>
                                          <w:sz w:val="18"/>
                                        </w:rPr>
                                        <w:t>损益平衡点=X+C</w:t>
                                      </w:r>
                                    </w:p>
                                  </w:txbxContent>
                                </wps:txbx>
                                <wps:bodyPr rot="0" vert="horz" wrap="square" lIns="91440" tIns="45720" rIns="91440" bIns="45720" anchor="t" anchorCtr="0" upright="1">
                                  <a:noAutofit/>
                                </wps:bodyPr>
                              </wps:wsp>
                            </wpg:grpSp>
                          </wpg:grpSp>
                        </wpg:grpSp>
                        <wps:wsp>
                          <wps:cNvPr id="69" name="Line 20"/>
                          <wps:cNvCnPr>
                            <a:cxnSpLocks noChangeShapeType="1"/>
                          </wps:cNvCnPr>
                          <wps:spPr bwMode="auto">
                            <a:xfrm>
                              <a:off x="2340" y="1092"/>
                              <a:ext cx="0" cy="468"/>
                            </a:xfrm>
                            <a:prstGeom prst="line">
                              <a:avLst/>
                            </a:prstGeom>
                            <a:noFill/>
                            <a:ln w="9525">
                              <a:solidFill>
                                <a:srgbClr val="000000"/>
                              </a:solidFill>
                              <a:prstDash val="lgDash"/>
                              <a:round/>
                            </a:ln>
                          </wps:spPr>
                          <wps:bodyPr/>
                        </wps:wsp>
                      </wpg:grpSp>
                    </wpg:wgp>
                  </a:graphicData>
                </a:graphic>
              </wp:anchor>
            </w:drawing>
          </mc:Choice>
          <mc:Fallback>
            <w:pict>
              <v:group id="Group 560" o:spid="_x0000_s1026" o:spt="203" style="position:absolute;left:0pt;margin-left:26.35pt;margin-top:0.65pt;height:187.3pt;width:259.5pt;z-index:251658240;mso-width-relative:page;mso-height-relative:page;" coordsize="4500,3746" o:gfxdata="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">
                <o:lock v:ext="edit" aspectratio="f"/>
                <v:shape id="Text Box 3" o:spid="_x0000_s1026" o:spt="202" type="#_x0000_t202" style="position:absolute;left:180;top:0;height:468;width:840;" fillcolor="#FFFFFF" filled="t" stroked="f" coordsize="21600,21600" o:gfxdata="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6YqXr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rPr>
                            <w:sz w:val="18"/>
                          </w:rPr>
                        </w:pPr>
                        <w:r>
                          <w:rPr>
                            <w:rFonts w:hint="eastAsia"/>
                            <w:sz w:val="18"/>
                          </w:rPr>
                          <w:t>损益</w:t>
                        </w:r>
                      </w:p>
                    </w:txbxContent>
                  </v:textbox>
                </v:shape>
                <v:group id="Group 4" o:spid="_x0000_s1026" o:spt="203" style="position:absolute;left:180;top:468;height:3278;width:4320;" coordsize="4320,3278" o:gfxdata="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La2or0AAADbAAAADwAAAAAAAAABACAAAAAiAAAAZHJzL2Rvd25yZXYueG1s&#10;UEsBAhQAFAAAAAgAh07iQDMvBZ47AAAAOQAAABUAAAAAAAAAAQAgAAAADAEAAGRycy9ncm91cHNo&#10;YXBleG1sLnhtbFBLBQYAAAAABgAGAGABAADJAwAAAAA=&#10;">
                  <o:lock v:ext="edit" aspectratio="f"/>
                  <v:line id="Line 5" o:spid="_x0000_s1026" o:spt="20" style="position:absolute;left:360;top:1404;flip:y;height:24;width:3420;" filled="f" stroked="t" coordsize="21600,21600" o:gfxdata="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TkCbsAAADb&#10;AAAADwAAAAAAAAABACAAAAAiAAAAZHJzL2Rvd25yZXYueG1sUEsBAhQAFAAAAAgAh07iQDMvBZ47&#10;AAAAOQAAABAAAAAAAAAAAQAgAAAACgEAAGRycy9zaGFwZXhtbC54bWxQSwUGAAAAAAYABgBbAQAA&#10;tAMAAAAA&#10;">
                    <v:fill on="f" focussize="0,0"/>
                    <v:stroke color="#545472" joinstyle="round" endarrow="block"/>
                    <v:imagedata o:title=""/>
                    <o:lock v:ext="edit" aspectratio="f"/>
                  </v:line>
                  <v:line id="Line 6" o:spid="_x0000_s1026" o:spt="20" style="position:absolute;left:360;top:0;flip:y;height:2808;width:0;" filled="f" stroked="t" coordsize="21600,21600" o:gfxdata="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WIQZK5AAAA2wAA&#10;AA8AAAAAAAAAAQAgAAAAIgAAAGRycy9kb3ducmV2LnhtbFBLAQIUABQAAAAIAIdO4kAzLwWeOwAA&#10;ADkAAAAQAAAAAAAAAAEAIAAAAAgBAABkcnMvc2hhcGV4bWwueG1sUEsFBgAAAAAGAAYAWwEAALID&#10;AAAAAA==&#10;">
                    <v:fill on="f" focussize="0,0"/>
                    <v:stroke color="#545472" joinstyle="round" endarrow="block"/>
                    <v:imagedata o:title=""/>
                    <o:lock v:ext="edit" aspectratio="f"/>
                  </v:line>
                  <v:shape id="Text Box 7" o:spid="_x0000_s1026" o:spt="202" type="#_x0000_t202" style="position:absolute;left:0;top:1248;height:390;width:300;" fillcolor="#FFFFFF" filled="t" stroked="f" coordsize="21600,21600" o:gfxdata="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SdLF25AAAA2wAA&#10;AA8AAAAAAAAAAQAgAAAAIgAAAGRycy9kb3ducmV2LnhtbFBLAQIUABQAAAAIAIdO4kAzLwWeOwAA&#10;ADkAAAAQAAAAAAAAAAEAIAAAAAgBAABkcnMvc2hhcGV4bWwueG1sUEsFBgAAAAAGAAYAWwEAALID&#10;AAAAAA==&#10;">
                    <v:fill on="t" focussize="0,0"/>
                    <v:stroke on="f"/>
                    <v:imagedata o:title=""/>
                    <o:lock v:ext="edit" aspectratio="f"/>
                    <v:textbox>
                      <w:txbxContent>
                        <w:p>
                          <w:r>
                            <w:rPr>
                              <w:rFonts w:hint="eastAsia"/>
                            </w:rPr>
                            <w:t>0</w:t>
                          </w:r>
                        </w:p>
                      </w:txbxContent>
                    </v:textbox>
                  </v:shape>
                  <v:shape id="Text Box 8" o:spid="_x0000_s1026" o:spt="202" type="#_x0000_t202" style="position:absolute;left:0;top:2808;height:470;width:3420;" fillcolor="#FFFFFF" filled="t" stroked="f" coordsize="21600,21600" o:gfxdata="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olW28AAAA&#10;2wAAAA8AAAAAAAAAAQAgAAAAIgAAAGRycy9kb3ducmV2LnhtbFBLAQIUABQAAAAIAIdO4kAzLwWe&#10;OwAAADkAAAAQAAAAAAAAAAEAIAAAAAsBAABkcnMvc2hhcGV4bWwueG1sUEsFBgAAAAAGAAYAWwEA&#10;ALUDAAAAAA==&#10;">
                    <v:fill on="t" focussize="0,0"/>
                    <v:stroke on="f"/>
                    <v:imagedata o:title=""/>
                    <o:lock v:ext="edit" aspectratio="f"/>
                    <v:textbox style="mso-fit-shape-to-text:t;">
                      <w:txbxContent>
                        <w:p>
                          <w:pPr>
                            <w:ind w:firstLine="360" w:firstLineChars="200"/>
                            <w:rPr>
                              <w:sz w:val="18"/>
                            </w:rPr>
                          </w:pPr>
                          <w:r>
                            <w:rPr>
                              <w:rFonts w:hint="eastAsia"/>
                              <w:sz w:val="18"/>
                            </w:rPr>
                            <w:t xml:space="preserve">  图1  看涨期权多头到期时损益状态</w:t>
                          </w:r>
                        </w:p>
                      </w:txbxContent>
                    </v:textbox>
                  </v:shape>
                  <v:shape id="Text Box 9" o:spid="_x0000_s1026" o:spt="202" type="#_x0000_t202" style="position:absolute;left:3780;top:1092;height:468;width:540;" fillcolor="#FFFFFF" filled="t" stroked="f" coordsize="21600,21600" o:gfxdata="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pOHbS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sz w:val="18"/>
                            </w:rPr>
                          </w:pPr>
                          <w:r>
                            <w:rPr>
                              <w:rFonts w:hint="eastAsia"/>
                              <w:sz w:val="18"/>
                            </w:rPr>
                            <w:t>S</w:t>
                          </w:r>
                        </w:p>
                      </w:txbxContent>
                    </v:textbox>
                  </v:shape>
                </v:group>
                <v:group id="Group 10" o:spid="_x0000_s1026" o:spt="203" style="position:absolute;left:0;top:624;height:2262;width:3780;" coordsize="3780,2262" o:gfxdata="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9V6BSL0AAADbAAAADwAAAAAAAAABACAAAAAiAAAAZHJzL2Rvd25yZXYueG1s&#10;UEsBAhQAFAAAAAgAh07iQDMvBZ47AAAAOQAAABUAAAAAAAAAAQAgAAAADAEAAGRycy9ncm91cHNo&#10;YXBleG1sLnhtbFBLBQYAAAAABgAGAGABAADJAwAAAAA=&#10;">
                  <o:lock v:ext="edit" aspectratio="f"/>
                  <v:group id="Group 11" o:spid="_x0000_s1026" o:spt="203" style="position:absolute;left:0;top:0;height:2262;width:3780;" coordsize="3780,2262" o:gfxdata="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qgjiaLoAAADbAAAADwAAAAAAAAABACAAAAAiAAAAZHJzL2Rvd25yZXYueG1sUEsB&#10;AhQAFAAAAAgAh07iQDMvBZ47AAAAOQAAABUAAAAAAAAAAQAgAAAACQEAAGRycy9ncm91cHNoYXBl&#10;eG1sLnhtbFBLBQYAAAAABgAGAGABAADGAwAAAAA=&#10;">
                    <o:lock v:ext="edit" aspectratio="f"/>
                    <v:shape id="Text Box 12" o:spid="_x0000_s1026" o:spt="202" type="#_x0000_t202" style="position:absolute;left:0;top:1716;height:390;width:540;" fillcolor="#FFFFFF" filled="t" stroked="f" coordsize="21600,21600" o:gfxdata="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YfpS8AAAA&#10;2wAAAA8AAAAAAAAAAQAgAAAAIgAAAGRycy9kb3ducmV2LnhtbFBLAQIUABQAAAAIAIdO4kAzLwWe&#10;OwAAADkAAAAQAAAAAAAAAAEAIAAAAAsBAABkcnMvc2hhcGV4bWwueG1sUEsFBgAAAAAGAAYAWwEA&#10;ALUDAAAAAA==&#10;">
                      <v:fill on="t" focussize="0,0"/>
                      <v:stroke on="f"/>
                      <v:imagedata o:title=""/>
                      <o:lock v:ext="edit" aspectratio="f"/>
                      <v:textbox>
                        <w:txbxContent>
                          <w:p>
                            <w:pPr>
                              <w:rPr>
                                <w:sz w:val="18"/>
                              </w:rPr>
                            </w:pPr>
                            <w:r>
                              <w:rPr>
                                <w:rFonts w:hint="eastAsia"/>
                                <w:sz w:val="18"/>
                              </w:rPr>
                              <w:t>-C</w:t>
                            </w:r>
                          </w:p>
                        </w:txbxContent>
                      </v:textbox>
                    </v:shape>
                    <v:group id="Group 13" o:spid="_x0000_s1026" o:spt="203" style="position:absolute;left:540;top:0;height:2262;width:3240;" coordsize="3240,2262" o:gfxdata="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WW2YS+AAAA2wAAAA8AAAAAAAAAAQAgAAAAIgAAAGRycy9kb3ducmV2Lnht&#10;bFBLAQIUABQAAAAIAIdO4kAzLwWeOwAAADkAAAAVAAAAAAAAAAEAIAAAAA0BAABkcnMvZ3JvdXBz&#10;aGFwZXhtbC54bWxQSwUGAAAAAAYABgBgAQAAygMAAAAA&#10;">
                      <o:lock v:ext="edit" aspectratio="f"/>
                      <v:shape id="Text Box 14" o:spid="_x0000_s1026" o:spt="202" type="#_x0000_t202" style="position:absolute;left:1620;top:1872;height:390;width:300;" fillcolor="#FFFFFF" filled="t" stroked="f" coordsize="21600,21600" o:gfxdata="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oZFeLsAAADb&#10;AAAADwAAAAAAAAABACAAAAAiAAAAZHJzL2Rvd25yZXYueG1sUEsBAhQAFAAAAAgAh07iQDMvBZ47&#10;AAAAOQAAABAAAAAAAAAAAQAgAAAACgEAAGRycy9zaGFwZXhtbC54bWxQSwUGAAAAAAYABgBbAQAA&#10;tAMAAAAA&#10;">
                        <v:fill on="t" focussize="0,0"/>
                        <v:stroke on="f"/>
                        <v:imagedata o:title=""/>
                        <o:lock v:ext="edit" aspectratio="f"/>
                        <v:textbox>
                          <w:txbxContent>
                            <w:p>
                              <w:pPr>
                                <w:rPr>
                                  <w:sz w:val="18"/>
                                </w:rPr>
                              </w:pPr>
                              <w:r>
                                <w:rPr>
                                  <w:rFonts w:hint="eastAsia"/>
                                  <w:sz w:val="18"/>
                                </w:rPr>
                                <w:t>X</w:t>
                              </w:r>
                            </w:p>
                          </w:txbxContent>
                        </v:textbox>
                      </v:shape>
                      <v:line id="Line 15" o:spid="_x0000_s1026" o:spt="20" style="position:absolute;left:0;top:1872;flip:y;height:1;width:1800;" filled="f" stroked="t" coordsize="21600,21600" o:gfxdata="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3Sx1/twAAANsAAAAP&#10;AAAAAAAAAAEAIAAAACIAAABkcnMvZG93bnJldi54bWxQSwECFAAUAAAACACHTuJAMy8FnjsAAAA5&#10;AAAAEAAAAAAAAAABACAAAAAGAQAAZHJzL3NoYXBleG1sLnhtbFBLBQYAAAAABgAGAFsBAACwAwAA&#10;AAA=&#10;">
                        <v:fill on="f" focussize="0,0"/>
                        <v:stroke weight="1.5pt" color="#000000" joinstyle="round"/>
                        <v:imagedata o:title=""/>
                        <o:lock v:ext="edit" aspectratio="f"/>
                      </v:line>
                      <v:line id="Line 16" o:spid="_x0000_s1026" o:spt="20" style="position:absolute;left:1800;top:312;flip:y;height:1560;width:1440;" filled="f" stroked="t" coordsize="21600,21600" o:gfxdata="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YB7jktwAAANsAAAAP&#10;AAAAAAAAAAEAIAAAACIAAABkcnMvZG93bnJldi54bWxQSwECFAAUAAAACACHTuJAMy8FnjsAAAA5&#10;AAAAEAAAAAAAAAABACAAAAAGAQAAZHJzL3NoYXBleG1sLnhtbFBLBQYAAAAABgAGAFsBAACwAwAA&#10;AAA=&#10;">
                        <v:fill on="f" focussize="0,0"/>
                        <v:stroke weight="1.5pt" color="#000000" joinstyle="round"/>
                        <v:imagedata o:title=""/>
                        <o:lock v:ext="edit" aspectratio="f"/>
                      </v:line>
                      <v:group id="Group 17" o:spid="_x0000_s1026" o:spt="203" style="position:absolute;left:180;top:0;height:1248;width:2160;" coordsize="2160,1248" o:gfxdata="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Krd+HvAAAANsAAAAPAAAAAAAAAAEAIAAAACIAAABkcnMvZG93bnJldi54bWxQ&#10;SwECFAAUAAAACACHTuJAMy8FnjsAAAA5AAAAFQAAAAAAAAABACAAAAALAQAAZHJzL2dyb3Vwc2hh&#10;cGV4bWwueG1sUEsFBgAAAAAGAAYAYAEAAMgDAAAAAA==&#10;">
                        <o:lock v:ext="edit" aspectratio="f"/>
                        <v:line id="Line 18" o:spid="_x0000_s1026" o:spt="20" style="position:absolute;left:1440;top:468;height:780;width:720;" filled="f" stroked="t" coordsize="21600,21600" o:gfxdata="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nuY4i8AAAA&#10;2wAAAA8AAAAAAAAAAQAgAAAAIgAAAGRycy9kb3ducmV2LnhtbFBLAQIUABQAAAAIAIdO4kAzLwWe&#10;OwAAADkAAAAQAAAAAAAAAAEAIAAAAAsBAABkcnMvc2hhcGV4bWwueG1sUEsFBgAAAAAGAAYAWwEA&#10;ALUDAAAAAA==&#10;">
                          <v:fill on="f" focussize="0,0"/>
                          <v:stroke color="#000000" joinstyle="round" dashstyle="longDash"/>
                          <v:imagedata o:title=""/>
                          <o:lock v:ext="edit" aspectratio="f"/>
                        </v:line>
                        <v:shape id="Text Box 19" o:spid="_x0000_s1026" o:spt="202" type="#_x0000_t202" style="position:absolute;left:0;top:0;height:390;width:2100;" fillcolor="#FFFFFF" filled="t" stroked="f" coordsize="21600,21600" o:gfxdata="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NCLXCbUAAADbAAAADwAA&#10;AAAAAAABACAAAAAiAAAAZHJzL2Rvd25yZXYueG1sUEsBAhQAFAAAAAgAh07iQDMvBZ47AAAAOQAA&#10;ABAAAAAAAAAAAQAgAAAABAEAAGRycy9zaGFwZXhtbC54bWxQSwUGAAAAAAYABgBbAQAArgMAAAAA&#10;">
                          <v:fill on="t" focussize="0,0"/>
                          <v:stroke on="f"/>
                          <v:imagedata o:title=""/>
                          <o:lock v:ext="edit" aspectratio="f"/>
                          <v:textbox>
                            <w:txbxContent>
                              <w:p>
                                <w:pPr>
                                  <w:rPr>
                                    <w:sz w:val="18"/>
                                  </w:rPr>
                                </w:pPr>
                                <w:r>
                                  <w:rPr>
                                    <w:rFonts w:hint="eastAsia"/>
                                    <w:sz w:val="18"/>
                                  </w:rPr>
                                  <w:t>损益平衡点=X+C</w:t>
                                </w:r>
                              </w:p>
                            </w:txbxContent>
                          </v:textbox>
                        </v:shape>
                      </v:group>
                    </v:group>
                  </v:group>
                  <v:line id="Line 20" o:spid="_x0000_s1026" o:spt="20" style="position:absolute;left:2340;top:1092;height:468;width:0;" filled="f" stroked="t" coordsize="21600,21600" o:gfxdata="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9UmG8AAAA&#10;2wAAAA8AAAAAAAAAAQAgAAAAIgAAAGRycy9kb3ducmV2LnhtbFBLAQIUABQAAAAIAIdO4kAzLwWe&#10;OwAAADkAAAAQAAAAAAAAAAEAIAAAAAsBAABkcnMvc2hhcGV4bWwueG1sUEsFBgAAAAAGAAYAWwEA&#10;ALUDAAAAAA==&#10;">
                    <v:fill on="f" focussize="0,0"/>
                    <v:stroke color="#000000" joinstyle="round" dashstyle="longDash"/>
                    <v:imagedata o:title=""/>
                    <o:lock v:ext="edit" aspectratio="f"/>
                  </v:line>
                </v:group>
              </v:group>
            </w:pict>
          </mc:Fallback>
        </mc:AlternateContent>
      </w:r>
    </w:p>
    <w:p>
      <w:pPr>
        <w:spacing w:line="360" w:lineRule="auto"/>
        <w:ind w:firstLine="480" w:firstLineChars="200"/>
        <w:rPr>
          <w:rFonts w:ascii="仿宋" w:hAnsi="仿宋"/>
          <w:bCs/>
          <w:kern w:val="0"/>
        </w:rPr>
      </w:pPr>
    </w:p>
    <w:p>
      <w:pPr>
        <w:spacing w:line="360" w:lineRule="auto"/>
        <w:ind w:firstLine="480" w:firstLineChars="200"/>
        <w:rPr>
          <w:rFonts w:ascii="仿宋" w:hAnsi="仿宋"/>
          <w:bCs/>
          <w:kern w:val="0"/>
        </w:rPr>
      </w:pPr>
    </w:p>
    <w:p>
      <w:pPr>
        <w:spacing w:line="360" w:lineRule="auto"/>
        <w:ind w:firstLine="480" w:firstLineChars="200"/>
        <w:rPr>
          <w:rFonts w:ascii="仿宋" w:hAnsi="仿宋"/>
          <w:bCs/>
          <w:kern w:val="0"/>
        </w:rPr>
      </w:pPr>
    </w:p>
    <w:p>
      <w:pPr>
        <w:spacing w:line="360" w:lineRule="auto"/>
        <w:ind w:firstLine="480" w:firstLineChars="200"/>
        <w:rPr>
          <w:rFonts w:ascii="仿宋" w:hAnsi="仿宋"/>
          <w:bCs/>
          <w:kern w:val="0"/>
        </w:rPr>
      </w:pPr>
    </w:p>
    <w:p>
      <w:pPr>
        <w:spacing w:line="360" w:lineRule="auto"/>
        <w:ind w:firstLine="480" w:firstLineChars="200"/>
        <w:rPr>
          <w:rFonts w:ascii="仿宋" w:hAnsi="仿宋"/>
          <w:bCs/>
          <w:kern w:val="0"/>
        </w:rPr>
      </w:pPr>
    </w:p>
    <w:p>
      <w:pPr>
        <w:spacing w:line="360" w:lineRule="auto"/>
        <w:ind w:firstLine="480" w:firstLineChars="200"/>
        <w:rPr>
          <w:rFonts w:ascii="仿宋" w:hAnsi="仿宋"/>
          <w:bCs/>
          <w:kern w:val="0"/>
        </w:rPr>
      </w:pPr>
    </w:p>
    <w:p>
      <w:pPr>
        <w:spacing w:line="360" w:lineRule="auto"/>
        <w:ind w:firstLine="480" w:firstLineChars="200"/>
        <w:rPr>
          <w:rFonts w:ascii="仿宋" w:hAnsi="仿宋"/>
          <w:bCs/>
          <w:kern w:val="0"/>
        </w:rPr>
      </w:pPr>
    </w:p>
    <w:p>
      <w:pPr>
        <w:spacing w:line="360" w:lineRule="auto"/>
        <w:ind w:firstLine="480" w:firstLineChars="200"/>
        <w:rPr>
          <w:rFonts w:ascii="仿宋" w:hAnsi="仿宋"/>
        </w:rPr>
      </w:pPr>
      <w:r>
        <w:rPr>
          <w:rFonts w:hint="eastAsia" w:ascii="仿宋" w:hAnsi="仿宋"/>
          <w:bCs/>
          <w:kern w:val="0"/>
        </w:rPr>
        <w:t>图中</w:t>
      </w:r>
      <w:r>
        <w:rPr>
          <w:rFonts w:ascii="仿宋" w:hAnsi="仿宋"/>
          <w:bCs/>
          <w:kern w:val="0"/>
        </w:rPr>
        <w:t>C=看涨期权的市场价格，X=期权的执行价格，S=标的物的市场价格</w:t>
      </w:r>
    </w:p>
    <w:p>
      <w:pPr>
        <w:spacing w:line="360" w:lineRule="auto"/>
        <w:ind w:firstLine="480" w:firstLineChars="200"/>
        <w:rPr>
          <w:rFonts w:ascii="仿宋" w:hAnsi="仿宋"/>
          <w:bCs/>
          <w:kern w:val="0"/>
        </w:rPr>
      </w:pPr>
      <w:r>
        <w:rPr>
          <w:rFonts w:hint="eastAsia" w:ascii="仿宋" w:hAnsi="仿宋"/>
          <w:bCs/>
          <w:kern w:val="0"/>
        </w:rPr>
        <w:t>看涨期权的买方在支付一笔权利金后，便可享有按约定的执行价格买入相关标的物的权利，但不负有必须买进的义务，从而锁定了标的物价格下跌可能存在的潜在损失。一旦标的物价格上涨，便可执行期权，以低于标的物的价格（执行价格）获得标的物；买方也可在期权价格上涨或下跌时卖出期权平仓，获得价差收益或避免遭受损失全部权利金的风险。</w:t>
      </w:r>
    </w:p>
    <w:p>
      <w:pPr>
        <w:spacing w:line="360" w:lineRule="auto"/>
        <w:ind w:firstLine="480" w:firstLineChars="200"/>
        <w:rPr>
          <w:rFonts w:ascii="仿宋" w:hAnsi="仿宋"/>
          <w:bCs/>
          <w:kern w:val="0"/>
        </w:rPr>
      </w:pPr>
      <w:r>
        <w:rPr>
          <w:rFonts w:hint="eastAsia" w:ascii="仿宋" w:hAnsi="仿宋"/>
          <w:bCs/>
          <w:kern w:val="0"/>
        </w:rPr>
        <w:t>看涨期权多头最大损失为权利金，标的物市场价格越高，对看涨期权的买方越有利，如果预期标的物的市场价格上涨，可通过买进看涨期权获利。</w:t>
      </w:r>
    </w:p>
    <w:p>
      <w:pPr>
        <w:spacing w:line="360" w:lineRule="auto"/>
        <w:ind w:firstLine="480" w:firstLineChars="200"/>
        <w:rPr>
          <w:rFonts w:ascii="仿宋" w:hAnsi="仿宋"/>
          <w:bCs/>
          <w:kern w:val="0"/>
        </w:rPr>
      </w:pPr>
      <w:r>
        <w:rPr>
          <w:rFonts w:ascii="仿宋" w:hAnsi="仿宋"/>
          <w:bCs/>
          <w:kern w:val="0"/>
        </w:rPr>
        <w:t>2</w:t>
      </w:r>
      <w:r>
        <w:rPr>
          <w:rFonts w:hint="eastAsia" w:ascii="仿宋" w:hAnsi="仿宋"/>
          <w:bCs/>
          <w:kern w:val="0"/>
        </w:rPr>
        <w:t>、</w:t>
      </w:r>
      <w:r>
        <w:rPr>
          <w:rFonts w:ascii="仿宋" w:hAnsi="仿宋"/>
          <w:bCs/>
          <w:kern w:val="0"/>
        </w:rPr>
        <w:t>看涨期权空头损益分析</w:t>
      </w:r>
    </w:p>
    <w:p>
      <w:pPr>
        <w:spacing w:line="360" w:lineRule="auto"/>
        <w:ind w:firstLine="480" w:firstLineChars="200"/>
        <w:rPr>
          <w:rFonts w:ascii="仿宋" w:hAnsi="仿宋"/>
          <w:bCs/>
          <w:kern w:val="0"/>
        </w:rPr>
      </w:pPr>
      <w:r>
        <w:rPr>
          <w:rFonts w:hint="eastAsia" w:ascii="仿宋" w:hAnsi="仿宋"/>
          <w:bCs/>
          <w:kern w:val="0"/>
        </w:rPr>
        <w:t>卖出看涨期权的最大损益结果或到期时的损益状况参见图</w:t>
      </w:r>
      <w:r>
        <w:rPr>
          <w:rFonts w:ascii="仿宋" w:hAnsi="仿宋"/>
          <w:bCs/>
          <w:kern w:val="0"/>
        </w:rPr>
        <w:t>2。</w:t>
      </w:r>
    </w:p>
    <w:p>
      <w:pPr>
        <w:spacing w:line="360" w:lineRule="auto"/>
        <w:ind w:firstLine="480" w:firstLineChars="200"/>
        <w:rPr>
          <w:rFonts w:ascii="仿宋" w:hAnsi="仿宋"/>
        </w:rPr>
      </w:pPr>
      <w:r>
        <mc:AlternateContent>
          <mc:Choice Requires="wpg">
            <w:drawing>
              <wp:anchor distT="0" distB="0" distL="114300" distR="114300" simplePos="0" relativeHeight="251654144" behindDoc="0" locked="0" layoutInCell="1" allowOverlap="1">
                <wp:simplePos x="0" y="0"/>
                <wp:positionH relativeFrom="column">
                  <wp:posOffset>365125</wp:posOffset>
                </wp:positionH>
                <wp:positionV relativeFrom="paragraph">
                  <wp:posOffset>72390</wp:posOffset>
                </wp:positionV>
                <wp:extent cx="3067050" cy="2378710"/>
                <wp:effectExtent l="3175" t="0" r="0" b="2540"/>
                <wp:wrapNone/>
                <wp:docPr id="32" name="Group 21"/>
                <wp:cNvGraphicFramePr/>
                <a:graphic xmlns:a="http://schemas.openxmlformats.org/drawingml/2006/main">
                  <a:graphicData uri="http://schemas.microsoft.com/office/word/2010/wordprocessingGroup">
                    <wpg:wgp>
                      <wpg:cNvGrpSpPr/>
                      <wpg:grpSpPr>
                        <a:xfrm>
                          <a:off x="0" y="0"/>
                          <a:ext cx="3067050" cy="2378710"/>
                          <a:chOff x="0" y="0"/>
                          <a:chExt cx="4440" cy="3746"/>
                        </a:xfrm>
                      </wpg:grpSpPr>
                      <wpg:grpSp>
                        <wpg:cNvPr id="33" name="Group 22"/>
                        <wpg:cNvGrpSpPr/>
                        <wpg:grpSpPr>
                          <a:xfrm>
                            <a:off x="0" y="0"/>
                            <a:ext cx="4320" cy="3746"/>
                            <a:chOff x="0" y="0"/>
                            <a:chExt cx="4320" cy="3746"/>
                          </a:xfrm>
                        </wpg:grpSpPr>
                        <wpg:grpSp>
                          <wpg:cNvPr id="34" name="Group 23"/>
                          <wpg:cNvGrpSpPr/>
                          <wpg:grpSpPr>
                            <a:xfrm>
                              <a:off x="0" y="0"/>
                              <a:ext cx="4320" cy="3746"/>
                              <a:chOff x="0" y="0"/>
                              <a:chExt cx="4320" cy="3746"/>
                            </a:xfrm>
                          </wpg:grpSpPr>
                          <wps:wsp>
                            <wps:cNvPr id="35" name="Text Box 24"/>
                            <wps:cNvSpPr txBox="1">
                              <a:spLocks noChangeArrowheads="1"/>
                            </wps:cNvSpPr>
                            <wps:spPr bwMode="auto">
                              <a:xfrm>
                                <a:off x="0" y="0"/>
                                <a:ext cx="840" cy="468"/>
                              </a:xfrm>
                              <a:prstGeom prst="rect">
                                <a:avLst/>
                              </a:prstGeom>
                              <a:solidFill>
                                <a:srgbClr val="FFFFFF"/>
                              </a:solidFill>
                              <a:ln>
                                <a:noFill/>
                              </a:ln>
                            </wps:spPr>
                            <wps:txbx>
                              <w:txbxContent>
                                <w:p>
                                  <w:pPr>
                                    <w:rPr>
                                      <w:sz w:val="18"/>
                                    </w:rPr>
                                  </w:pPr>
                                  <w:r>
                                    <w:rPr>
                                      <w:rFonts w:hint="eastAsia"/>
                                      <w:sz w:val="18"/>
                                    </w:rPr>
                                    <w:t>损益</w:t>
                                  </w:r>
                                </w:p>
                              </w:txbxContent>
                            </wps:txbx>
                            <wps:bodyPr rot="0" vert="horz" wrap="square" lIns="91440" tIns="45720" rIns="91440" bIns="45720" anchor="t" anchorCtr="0" upright="1">
                              <a:noAutofit/>
                            </wps:bodyPr>
                          </wps:wsp>
                          <wps:wsp>
                            <wps:cNvPr id="36" name="Text Box 25"/>
                            <wps:cNvSpPr txBox="1">
                              <a:spLocks noChangeArrowheads="1"/>
                            </wps:cNvSpPr>
                            <wps:spPr bwMode="auto">
                              <a:xfrm>
                                <a:off x="0" y="936"/>
                                <a:ext cx="540" cy="390"/>
                              </a:xfrm>
                              <a:prstGeom prst="rect">
                                <a:avLst/>
                              </a:prstGeom>
                              <a:solidFill>
                                <a:srgbClr val="FFFFFF"/>
                              </a:solidFill>
                              <a:ln>
                                <a:noFill/>
                              </a:ln>
                            </wps:spPr>
                            <wps:txbx>
                              <w:txbxContent>
                                <w:p>
                                  <w:pPr>
                                    <w:rPr>
                                      <w:sz w:val="18"/>
                                    </w:rPr>
                                  </w:pPr>
                                  <w:r>
                                    <w:rPr>
                                      <w:rFonts w:hint="eastAsia"/>
                                      <w:sz w:val="18"/>
                                    </w:rPr>
                                    <w:t>C</w:t>
                                  </w:r>
                                </w:p>
                              </w:txbxContent>
                            </wps:txbx>
                            <wps:bodyPr rot="0" vert="horz" wrap="square" lIns="91440" tIns="45720" rIns="91440" bIns="45720" anchor="t" anchorCtr="0" upright="1">
                              <a:noAutofit/>
                            </wps:bodyPr>
                          </wps:wsp>
                          <wps:wsp>
                            <wps:cNvPr id="37" name="Text Box 26"/>
                            <wps:cNvSpPr txBox="1">
                              <a:spLocks noChangeArrowheads="1"/>
                            </wps:cNvSpPr>
                            <wps:spPr bwMode="auto">
                              <a:xfrm>
                                <a:off x="1980" y="780"/>
                                <a:ext cx="300" cy="390"/>
                              </a:xfrm>
                              <a:prstGeom prst="rect">
                                <a:avLst/>
                              </a:prstGeom>
                              <a:solidFill>
                                <a:srgbClr val="FFFFFF"/>
                              </a:solidFill>
                              <a:ln>
                                <a:noFill/>
                              </a:ln>
                            </wps:spPr>
                            <wps:txbx>
                              <w:txbxContent>
                                <w:p>
                                  <w:pPr>
                                    <w:rPr>
                                      <w:sz w:val="18"/>
                                    </w:rPr>
                                  </w:pPr>
                                  <w:r>
                                    <w:rPr>
                                      <w:rFonts w:hint="eastAsia"/>
                                      <w:sz w:val="18"/>
                                    </w:rPr>
                                    <w:t>X</w:t>
                                  </w:r>
                                </w:p>
                              </w:txbxContent>
                            </wps:txbx>
                            <wps:bodyPr rot="0" vert="horz" wrap="square" lIns="91440" tIns="45720" rIns="91440" bIns="45720" anchor="t" anchorCtr="0" upright="1">
                              <a:noAutofit/>
                            </wps:bodyPr>
                          </wps:wsp>
                          <wpg:grpSp>
                            <wpg:cNvPr id="38" name="Group 27"/>
                            <wpg:cNvGrpSpPr/>
                            <wpg:grpSpPr>
                              <a:xfrm>
                                <a:off x="0" y="468"/>
                                <a:ext cx="4320" cy="3278"/>
                                <a:chOff x="0" y="0"/>
                                <a:chExt cx="4320" cy="3278"/>
                              </a:xfrm>
                            </wpg:grpSpPr>
                            <wpg:grpSp>
                              <wpg:cNvPr id="39" name="Group 28"/>
                              <wpg:cNvGrpSpPr/>
                              <wpg:grpSpPr>
                                <a:xfrm>
                                  <a:off x="0" y="0"/>
                                  <a:ext cx="4320" cy="3278"/>
                                  <a:chOff x="0" y="0"/>
                                  <a:chExt cx="4320" cy="3278"/>
                                </a:xfrm>
                              </wpg:grpSpPr>
                              <wps:wsp>
                                <wps:cNvPr id="40" name="Line 29"/>
                                <wps:cNvCnPr>
                                  <a:cxnSpLocks noChangeShapeType="1"/>
                                </wps:cNvCnPr>
                                <wps:spPr bwMode="auto">
                                  <a:xfrm flipV="1">
                                    <a:off x="360" y="1404"/>
                                    <a:ext cx="3420" cy="24"/>
                                  </a:xfrm>
                                  <a:prstGeom prst="line">
                                    <a:avLst/>
                                  </a:prstGeom>
                                  <a:noFill/>
                                  <a:ln w="9525">
                                    <a:solidFill>
                                      <a:srgbClr val="545472"/>
                                    </a:solidFill>
                                    <a:round/>
                                    <a:tailEnd type="triangle" w="med" len="med"/>
                                  </a:ln>
                                  <a:effectLst/>
                                </wps:spPr>
                                <wps:bodyPr/>
                              </wps:wsp>
                              <wps:wsp>
                                <wps:cNvPr id="41" name="Line 30"/>
                                <wps:cNvCnPr>
                                  <a:cxnSpLocks noChangeShapeType="1"/>
                                </wps:cNvCnPr>
                                <wps:spPr bwMode="auto">
                                  <a:xfrm flipV="1">
                                    <a:off x="360" y="0"/>
                                    <a:ext cx="0" cy="2808"/>
                                  </a:xfrm>
                                  <a:prstGeom prst="line">
                                    <a:avLst/>
                                  </a:prstGeom>
                                  <a:noFill/>
                                  <a:ln w="9525">
                                    <a:solidFill>
                                      <a:srgbClr val="545472"/>
                                    </a:solidFill>
                                    <a:round/>
                                    <a:tailEnd type="triangle" w="med" len="med"/>
                                  </a:ln>
                                  <a:effectLst/>
                                </wps:spPr>
                                <wps:bodyPr/>
                              </wps:wsp>
                              <wps:wsp>
                                <wps:cNvPr id="42" name="Text Box 31"/>
                                <wps:cNvSpPr txBox="1">
                                  <a:spLocks noChangeArrowheads="1"/>
                                </wps:cNvSpPr>
                                <wps:spPr bwMode="auto">
                                  <a:xfrm>
                                    <a:off x="0" y="1248"/>
                                    <a:ext cx="300" cy="390"/>
                                  </a:xfrm>
                                  <a:prstGeom prst="rect">
                                    <a:avLst/>
                                  </a:prstGeom>
                                  <a:solidFill>
                                    <a:srgbClr val="FFFFFF"/>
                                  </a:solidFill>
                                  <a:ln>
                                    <a:noFill/>
                                  </a:ln>
                                </wps:spPr>
                                <wps:txbx>
                                  <w:txbxContent>
                                    <w:p>
                                      <w:r>
                                        <w:rPr>
                                          <w:rFonts w:hint="eastAsia"/>
                                        </w:rPr>
                                        <w:t>0</w:t>
                                      </w:r>
                                    </w:p>
                                  </w:txbxContent>
                                </wps:txbx>
                                <wps:bodyPr rot="0" vert="horz" wrap="square" lIns="91440" tIns="45720" rIns="91440" bIns="45720" anchor="t" anchorCtr="0" upright="1">
                                  <a:noAutofit/>
                                </wps:bodyPr>
                              </wps:wsp>
                              <wps:wsp>
                                <wps:cNvPr id="43" name="Text Box 32"/>
                                <wps:cNvSpPr txBox="1">
                                  <a:spLocks noChangeArrowheads="1"/>
                                </wps:cNvSpPr>
                                <wps:spPr bwMode="auto">
                                  <a:xfrm>
                                    <a:off x="0" y="2808"/>
                                    <a:ext cx="3420" cy="470"/>
                                  </a:xfrm>
                                  <a:prstGeom prst="rect">
                                    <a:avLst/>
                                  </a:prstGeom>
                                  <a:solidFill>
                                    <a:srgbClr val="FFFFFF"/>
                                  </a:solidFill>
                                  <a:ln>
                                    <a:noFill/>
                                  </a:ln>
                                </wps:spPr>
                                <wps:txbx>
                                  <w:txbxContent>
                                    <w:p>
                                      <w:pPr>
                                        <w:ind w:firstLine="360" w:firstLineChars="200"/>
                                        <w:rPr>
                                          <w:sz w:val="18"/>
                                        </w:rPr>
                                      </w:pPr>
                                      <w:r>
                                        <w:rPr>
                                          <w:rFonts w:hint="eastAsia"/>
                                          <w:sz w:val="18"/>
                                        </w:rPr>
                                        <w:t>图2   看涨期权空头到期时损益状态</w:t>
                                      </w:r>
                                    </w:p>
                                  </w:txbxContent>
                                </wps:txbx>
                                <wps:bodyPr rot="0" vert="horz" wrap="square" lIns="91440" tIns="45720" rIns="91440" bIns="45720" anchor="t" anchorCtr="0" upright="1">
                                  <a:spAutoFit/>
                                </wps:bodyPr>
                              </wps:wsp>
                              <wps:wsp>
                                <wps:cNvPr id="44" name="Text Box 33"/>
                                <wps:cNvSpPr txBox="1">
                                  <a:spLocks noChangeArrowheads="1"/>
                                </wps:cNvSpPr>
                                <wps:spPr bwMode="auto">
                                  <a:xfrm>
                                    <a:off x="3780" y="1092"/>
                                    <a:ext cx="540" cy="468"/>
                                  </a:xfrm>
                                  <a:prstGeom prst="rect">
                                    <a:avLst/>
                                  </a:prstGeom>
                                  <a:solidFill>
                                    <a:srgbClr val="FFFFFF"/>
                                  </a:solidFill>
                                  <a:ln>
                                    <a:noFill/>
                                  </a:ln>
                                </wps:spPr>
                                <wps:txbx>
                                  <w:txbxContent>
                                    <w:p>
                                      <w:pPr>
                                        <w:rPr>
                                          <w:sz w:val="18"/>
                                        </w:rPr>
                                      </w:pPr>
                                      <w:r>
                                        <w:rPr>
                                          <w:rFonts w:hint="eastAsia"/>
                                          <w:sz w:val="18"/>
                                        </w:rPr>
                                        <w:t>S</w:t>
                                      </w:r>
                                    </w:p>
                                  </w:txbxContent>
                                </wps:txbx>
                                <wps:bodyPr rot="0" vert="horz" wrap="square" lIns="91440" tIns="45720" rIns="91440" bIns="45720" anchor="t" anchorCtr="0" upright="1">
                                  <a:noAutofit/>
                                </wps:bodyPr>
                              </wps:wsp>
                            </wpg:grpSp>
                            <wps:wsp>
                              <wps:cNvPr id="45" name="Line 34"/>
                              <wps:cNvCnPr>
                                <a:cxnSpLocks noChangeShapeType="1"/>
                              </wps:cNvCnPr>
                              <wps:spPr bwMode="auto">
                                <a:xfrm>
                                  <a:off x="2160" y="1092"/>
                                  <a:ext cx="0" cy="468"/>
                                </a:xfrm>
                                <a:prstGeom prst="line">
                                  <a:avLst/>
                                </a:prstGeom>
                                <a:noFill/>
                                <a:ln w="9525">
                                  <a:solidFill>
                                    <a:srgbClr val="000000"/>
                                  </a:solidFill>
                                  <a:prstDash val="lgDash"/>
                                  <a:round/>
                                </a:ln>
                              </wps:spPr>
                              <wps:bodyPr/>
                            </wps:wsp>
                          </wpg:grpSp>
                        </wpg:grpSp>
                        <wps:wsp>
                          <wps:cNvPr id="46" name="Line 35"/>
                          <wps:cNvCnPr>
                            <a:cxnSpLocks noChangeShapeType="1"/>
                          </wps:cNvCnPr>
                          <wps:spPr bwMode="auto">
                            <a:xfrm flipV="1">
                              <a:off x="360" y="1248"/>
                              <a:ext cx="1800" cy="1"/>
                            </a:xfrm>
                            <a:prstGeom prst="line">
                              <a:avLst/>
                            </a:prstGeom>
                            <a:noFill/>
                            <a:ln w="19050">
                              <a:solidFill>
                                <a:srgbClr val="000000"/>
                              </a:solidFill>
                              <a:round/>
                            </a:ln>
                            <a:effectLst/>
                          </wps:spPr>
                          <wps:bodyPr/>
                        </wps:wsp>
                        <wps:wsp>
                          <wps:cNvPr id="47" name="Line 36"/>
                          <wps:cNvCnPr>
                            <a:cxnSpLocks noChangeShapeType="1"/>
                          </wps:cNvCnPr>
                          <wps:spPr bwMode="auto">
                            <a:xfrm>
                              <a:off x="2160" y="1248"/>
                              <a:ext cx="1620" cy="1404"/>
                            </a:xfrm>
                            <a:prstGeom prst="line">
                              <a:avLst/>
                            </a:prstGeom>
                            <a:noFill/>
                            <a:ln w="19050">
                              <a:solidFill>
                                <a:srgbClr val="000000"/>
                              </a:solidFill>
                              <a:round/>
                            </a:ln>
                            <a:effectLst/>
                          </wps:spPr>
                          <wps:bodyPr/>
                        </wps:wsp>
                      </wpg:grpSp>
                      <wpg:grpSp>
                        <wpg:cNvPr id="48" name="Group 37"/>
                        <wpg:cNvGrpSpPr/>
                        <wpg:grpSpPr>
                          <a:xfrm>
                            <a:off x="2340" y="156"/>
                            <a:ext cx="2100" cy="1716"/>
                            <a:chOff x="0" y="0"/>
                            <a:chExt cx="2100" cy="1716"/>
                          </a:xfrm>
                        </wpg:grpSpPr>
                        <wps:wsp>
                          <wps:cNvPr id="49" name="Line 38"/>
                          <wps:cNvCnPr>
                            <a:cxnSpLocks noChangeShapeType="1"/>
                          </wps:cNvCnPr>
                          <wps:spPr bwMode="auto">
                            <a:xfrm flipH="1">
                              <a:off x="540" y="468"/>
                              <a:ext cx="360" cy="1248"/>
                            </a:xfrm>
                            <a:prstGeom prst="line">
                              <a:avLst/>
                            </a:prstGeom>
                            <a:noFill/>
                            <a:ln w="9525">
                              <a:solidFill>
                                <a:srgbClr val="000000"/>
                              </a:solidFill>
                              <a:prstDash val="lgDash"/>
                              <a:round/>
                            </a:ln>
                          </wps:spPr>
                          <wps:bodyPr/>
                        </wps:wsp>
                        <wps:wsp>
                          <wps:cNvPr id="50" name="Text Box 39"/>
                          <wps:cNvSpPr txBox="1">
                            <a:spLocks noChangeArrowheads="1"/>
                          </wps:cNvSpPr>
                          <wps:spPr bwMode="auto">
                            <a:xfrm>
                              <a:off x="0" y="0"/>
                              <a:ext cx="2100" cy="390"/>
                            </a:xfrm>
                            <a:prstGeom prst="rect">
                              <a:avLst/>
                            </a:prstGeom>
                            <a:solidFill>
                              <a:srgbClr val="FFFFFF"/>
                            </a:solidFill>
                            <a:ln>
                              <a:noFill/>
                            </a:ln>
                          </wps:spPr>
                          <wps:txbx>
                            <w:txbxContent>
                              <w:p>
                                <w:pPr>
                                  <w:rPr>
                                    <w:sz w:val="18"/>
                                  </w:rPr>
                                </w:pPr>
                                <w:r>
                                  <w:rPr>
                                    <w:rFonts w:hint="eastAsia"/>
                                    <w:sz w:val="18"/>
                                  </w:rPr>
                                  <w:t>损益平衡点=X+C</w:t>
                                </w:r>
                              </w:p>
                            </w:txbxContent>
                          </wps:txbx>
                          <wps:bodyPr rot="0" vert="horz" wrap="square" lIns="91440" tIns="45720" rIns="91440" bIns="45720" anchor="t" anchorCtr="0" upright="1">
                            <a:noAutofit/>
                          </wps:bodyPr>
                        </wps:wsp>
                      </wpg:grpSp>
                    </wpg:wgp>
                  </a:graphicData>
                </a:graphic>
              </wp:anchor>
            </w:drawing>
          </mc:Choice>
          <mc:Fallback>
            <w:pict>
              <v:group id="Group 21" o:spid="_x0000_s1026" o:spt="203" style="position:absolute;left:0pt;margin-left:28.75pt;margin-top:5.7pt;height:187.3pt;width:241.5pt;z-index:251654144;mso-width-relative:page;mso-height-relative:page;" coordsize="4440,3746" o:gfxdata="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">
                <o:lock v:ext="edit" aspectratio="f"/>
                <v:group id="Group 22" o:spid="_x0000_s1026" o:spt="203" style="position:absolute;left:0;top:0;height:3746;width:4320;" coordsize="4320,3746" o:gfxdata="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lpUwK+AAAA2wAAAA8AAAAAAAAAAQAgAAAAIgAAAGRycy9kb3ducmV2Lnht&#10;bFBLAQIUABQAAAAIAIdO4kAzLwWeOwAAADkAAAAVAAAAAAAAAAEAIAAAAA0BAABkcnMvZ3JvdXBz&#10;aGFwZXhtbC54bWxQSwUGAAAAAAYABgBgAQAAygMAAAAA&#10;">
                  <o:lock v:ext="edit" aspectratio="f"/>
                  <v:group id="Group 23" o:spid="_x0000_s1026" o:spt="203" style="position:absolute;left:0;top:0;height:3746;width:4320;" coordsize="4320,3746"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shape id="Text Box 24" o:spid="_x0000_s1026" o:spt="202" type="#_x0000_t202" style="position:absolute;left:0;top:0;height:468;width:840;" fillcolor="#FFFFFF" filled="t" stroked="f" coordsize="21600,21600" o:gfxdata="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ZBXir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rPr>
                                <w:sz w:val="18"/>
                              </w:rPr>
                            </w:pPr>
                            <w:r>
                              <w:rPr>
                                <w:rFonts w:hint="eastAsia"/>
                                <w:sz w:val="18"/>
                              </w:rPr>
                              <w:t>损益</w:t>
                            </w:r>
                          </w:p>
                        </w:txbxContent>
                      </v:textbox>
                    </v:shape>
                    <v:shape id="Text Box 25" o:spid="_x0000_s1026" o:spt="202" type="#_x0000_t202" style="position:absolute;left:0;top:936;height:390;width:540;" fillcolor="#FFFFFF" filled="t" stroked="f" coordsize="21600,21600" o:gfxdata="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ULJ/bsAAADb&#10;AAAADwAAAAAAAAABACAAAAAiAAAAZHJzL2Rvd25yZXYueG1sUEsBAhQAFAAAAAgAh07iQDMvBZ47&#10;AAAAOQAAABAAAAAAAAAAAQAgAAAACgEAAGRycy9zaGFwZXhtbC54bWxQSwUGAAAAAAYABgBbAQAA&#10;tAMAAAAA&#10;">
                      <v:fill on="t" focussize="0,0"/>
                      <v:stroke on="f"/>
                      <v:imagedata o:title=""/>
                      <o:lock v:ext="edit" aspectratio="f"/>
                      <v:textbox>
                        <w:txbxContent>
                          <w:p>
                            <w:pPr>
                              <w:rPr>
                                <w:sz w:val="18"/>
                              </w:rPr>
                            </w:pPr>
                            <w:r>
                              <w:rPr>
                                <w:rFonts w:hint="eastAsia"/>
                                <w:sz w:val="18"/>
                              </w:rPr>
                              <w:t>C</w:t>
                            </w:r>
                          </w:p>
                        </w:txbxContent>
                      </v:textbox>
                    </v:shape>
                    <v:shape id="Text Box 26" o:spid="_x0000_s1026" o:spt="202" type="#_x0000_t202" style="position:absolute;left:1980;top:780;height:390;width:300;" fillcolor="#FFFFFF" filled="t" stroked="f" coordsize="21600,21600" o:gfxdata="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Dmxm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pPr>
                              <w:rPr>
                                <w:sz w:val="18"/>
                              </w:rPr>
                            </w:pPr>
                            <w:r>
                              <w:rPr>
                                <w:rFonts w:hint="eastAsia"/>
                                <w:sz w:val="18"/>
                              </w:rPr>
                              <w:t>X</w:t>
                            </w:r>
                          </w:p>
                        </w:txbxContent>
                      </v:textbox>
                    </v:shape>
                    <v:group id="Group 27" o:spid="_x0000_s1026" o:spt="203" style="position:absolute;left:0;top:468;height:3278;width:4320;" coordsize="4320,3278" o:gfxdata="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R83Bc7oAAADbAAAADwAAAAAAAAABACAAAAAiAAAAZHJzL2Rvd25yZXYueG1sUEsB&#10;AhQAFAAAAAgAh07iQDMvBZ47AAAAOQAAABUAAAAAAAAAAQAgAAAACQEAAGRycy9ncm91cHNoYXBl&#10;eG1sLnhtbFBLBQYAAAAABgAGAGABAADGAwAAAAA=&#10;">
                      <o:lock v:ext="edit" aspectratio="f"/>
                      <v:group id="Group 28" o:spid="_x0000_s1026" o:spt="203" style="position:absolute;left:0;top:0;height:3278;width:4320;" coordsize="4320,3278" o:gfxdata="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KIFk6L0AAADbAAAADwAAAAAAAAABACAAAAAiAAAAZHJzL2Rvd25yZXYueG1s&#10;UEsBAhQAFAAAAAgAh07iQDMvBZ47AAAAOQAAABUAAAAAAAAAAQAgAAAADAEAAGRycy9ncm91cHNo&#10;YXBleG1sLnhtbFBLBQYAAAAABgAGAGABAADJAwAAAAA=&#10;">
                        <o:lock v:ext="edit" aspectratio="f"/>
                        <v:line id="Line 29" o:spid="_x0000_s1026" o:spt="20" style="position:absolute;left:360;top:1404;flip:y;height:24;width:3420;" filled="f" stroked="t" coordsize="21600,21600" o:gfxdata="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AmdNe2AAAA2wAAAA8A&#10;AAAAAAAAAQAgAAAAIgAAAGRycy9kb3ducmV2LnhtbFBLAQIUABQAAAAIAIdO4kAzLwWeOwAAADkA&#10;AAAQAAAAAAAAAAEAIAAAAAUBAABkcnMvc2hhcGV4bWwueG1sUEsFBgAAAAAGAAYAWwEAAK8DAAAA&#10;AA==&#10;">
                          <v:fill on="f" focussize="0,0"/>
                          <v:stroke color="#545472" joinstyle="round" endarrow="block"/>
                          <v:imagedata o:title=""/>
                          <o:lock v:ext="edit" aspectratio="f"/>
                        </v:line>
                        <v:line id="Line 30" o:spid="_x0000_s1026" o:spt="20" style="position:absolute;left:360;top:0;flip:y;height:2808;width:0;" filled="f" stroked="t" coordsize="21600,21600" o:gfxdata="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2rRTLsAAADb&#10;AAAADwAAAAAAAAABACAAAAAiAAAAZHJzL2Rvd25yZXYueG1sUEsBAhQAFAAAAAgAh07iQDMvBZ47&#10;AAAAOQAAABAAAAAAAAAAAQAgAAAACgEAAGRycy9zaGFwZXhtbC54bWxQSwUGAAAAAAYABgBbAQAA&#10;tAMAAAAA&#10;">
                          <v:fill on="f" focussize="0,0"/>
                          <v:stroke color="#545472" joinstyle="round" endarrow="block"/>
                          <v:imagedata o:title=""/>
                          <o:lock v:ext="edit" aspectratio="f"/>
                        </v:line>
                        <v:shape id="Text Box 31" o:spid="_x0000_s1026" o:spt="202" type="#_x0000_t202" style="position:absolute;left:0;top:1248;height:390;width:300;" fillcolor="#FFFFFF" filled="t" stroked="f" coordsize="21600,21600" o:gfxdata="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n+8g7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r>
                                  <w:rPr>
                                    <w:rFonts w:hint="eastAsia"/>
                                  </w:rPr>
                                  <w:t>0</w:t>
                                </w:r>
                              </w:p>
                            </w:txbxContent>
                          </v:textbox>
                        </v:shape>
                        <v:shape id="Text Box 32" o:spid="_x0000_s1026" o:spt="202" type="#_x0000_t202" style="position:absolute;left:0;top:2808;height:470;width:3420;" fillcolor="#FFFFFF" filled="t" stroked="f" coordsize="21600,21600" o:gfxdata="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SgWzvQAA&#10;ANsAAAAPAAAAAAAAAAEAIAAAACIAAABkcnMvZG93bnJldi54bWxQSwECFAAUAAAACACHTuJAMy8F&#10;njsAAAA5AAAAEAAAAAAAAAABACAAAAAMAQAAZHJzL3NoYXBleG1sLnhtbFBLBQYAAAAABgAGAFsB&#10;AAC2AwAAAAA=&#10;">
                          <v:fill on="t" focussize="0,0"/>
                          <v:stroke on="f"/>
                          <v:imagedata o:title=""/>
                          <o:lock v:ext="edit" aspectratio="f"/>
                          <v:textbox style="mso-fit-shape-to-text:t;">
                            <w:txbxContent>
                              <w:p>
                                <w:pPr>
                                  <w:ind w:firstLine="360" w:firstLineChars="200"/>
                                  <w:rPr>
                                    <w:sz w:val="18"/>
                                  </w:rPr>
                                </w:pPr>
                                <w:r>
                                  <w:rPr>
                                    <w:rFonts w:hint="eastAsia"/>
                                    <w:sz w:val="18"/>
                                  </w:rPr>
                                  <w:t>图2   看涨期权空头到期时损益状态</w:t>
                                </w:r>
                              </w:p>
                            </w:txbxContent>
                          </v:textbox>
                        </v:shape>
                        <v:shape id="Text Box 33" o:spid="_x0000_s1026" o:spt="202" type="#_x0000_t202" style="position:absolute;left:3780;top:1092;height:468;width:540;" fillcolor="#FFFFFF" filled="t" stroked="f" coordsize="21600,21600" o:gfxdata="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7agWy5AAAA2wAA&#10;AA8AAAAAAAAAAQAgAAAAIgAAAGRycy9kb3ducmV2LnhtbFBLAQIUABQAAAAIAIdO4kAzLwWeOwAA&#10;ADkAAAAQAAAAAAAAAAEAIAAAAAgBAABkcnMvc2hhcGV4bWwueG1sUEsFBgAAAAAGAAYAWwEAALID&#10;AAAAAA==&#10;">
                          <v:fill on="t" focussize="0,0"/>
                          <v:stroke on="f"/>
                          <v:imagedata o:title=""/>
                          <o:lock v:ext="edit" aspectratio="f"/>
                          <v:textbox>
                            <w:txbxContent>
                              <w:p>
                                <w:pPr>
                                  <w:rPr>
                                    <w:sz w:val="18"/>
                                  </w:rPr>
                                </w:pPr>
                                <w:r>
                                  <w:rPr>
                                    <w:rFonts w:hint="eastAsia"/>
                                    <w:sz w:val="18"/>
                                  </w:rPr>
                                  <w:t>S</w:t>
                                </w:r>
                              </w:p>
                            </w:txbxContent>
                          </v:textbox>
                        </v:shape>
                      </v:group>
                      <v:line id="Line 34" o:spid="_x0000_s1026" o:spt="20" style="position:absolute;left:2160;top:1092;height:468;width:0;" filled="f" stroked="t" coordsize="21600,21600" o:gfxdata="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3FBAS8AAAA&#10;2wAAAA8AAAAAAAAAAQAgAAAAIgAAAGRycy9kb3ducmV2LnhtbFBLAQIUABQAAAAIAIdO4kAzLwWe&#10;OwAAADkAAAAQAAAAAAAAAAEAIAAAAAsBAABkcnMvc2hhcGV4bWwueG1sUEsFBgAAAAAGAAYAWwEA&#10;ALUDAAAAAA==&#10;">
                        <v:fill on="f" focussize="0,0"/>
                        <v:stroke color="#000000" joinstyle="round" dashstyle="longDash"/>
                        <v:imagedata o:title=""/>
                        <o:lock v:ext="edit" aspectratio="f"/>
                      </v:line>
                    </v:group>
                  </v:group>
                  <v:line id="Line 35" o:spid="_x0000_s1026" o:spt="20" style="position:absolute;left:360;top:1248;flip:y;height:1;width:1800;" filled="f" stroked="t" coordsize="21600,21600" o:gfxdata="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jYHrztwAAANsAAAAP&#10;AAAAAAAAAAEAIAAAACIAAABkcnMvZG93bnJldi54bWxQSwECFAAUAAAACACHTuJAMy8FnjsAAAA5&#10;AAAAEAAAAAAAAAABACAAAAAGAQAAZHJzL3NoYXBleG1sLnhtbFBLBQYAAAAABgAGAFsBAACwAwAA&#10;AAA=&#10;">
                    <v:fill on="f" focussize="0,0"/>
                    <v:stroke weight="1.5pt" color="#000000" joinstyle="round"/>
                    <v:imagedata o:title=""/>
                    <o:lock v:ext="edit" aspectratio="f"/>
                  </v:line>
                  <v:line id="Line 36" o:spid="_x0000_s1026" o:spt="20" style="position:absolute;left:2160;top:1248;height:1404;width:1620;" filled="f" stroked="t" coordsize="21600,21600" o:gfxdata="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TMBnvQAA&#10;ANsAAAAPAAAAAAAAAAEAIAAAACIAAABkcnMvZG93bnJldi54bWxQSwECFAAUAAAACACHTuJAMy8F&#10;njsAAAA5AAAAEAAAAAAAAAABACAAAAAMAQAAZHJzL3NoYXBleG1sLnhtbFBLBQYAAAAABgAGAFsB&#10;AAC2AwAAAAA=&#10;">
                    <v:fill on="f" focussize="0,0"/>
                    <v:stroke weight="1.5pt" color="#000000" joinstyle="round"/>
                    <v:imagedata o:title=""/>
                    <o:lock v:ext="edit" aspectratio="f"/>
                  </v:line>
                </v:group>
                <v:group id="Group 37" o:spid="_x0000_s1026" o:spt="203" style="position:absolute;left:2340;top:156;height:1716;width:2100;" coordsize="2100,1716" o:gfxdata="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Lsg67AAAA2wAAAA8AAAAAAAAAAQAgAAAAIgAAAGRycy9kb3ducmV2LnhtbFBL&#10;AQIUABQAAAAIAIdO4kAzLwWeOwAAADkAAAAVAAAAAAAAAAEAIAAAAAoBAABkcnMvZ3JvdXBzaGFw&#10;ZXhtbC54bWxQSwUGAAAAAAYABgBgAQAAxwMAAAAA&#10;">
                  <o:lock v:ext="edit" aspectratio="f"/>
                  <v:line id="Line 38" o:spid="_x0000_s1026" o:spt="20" style="position:absolute;left:540;top:468;flip:x;height:1248;width:360;" filled="f" stroked="t" coordsize="21600,21600" o:gfxdata="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TPKivQAA&#10;ANsAAAAPAAAAAAAAAAEAIAAAACIAAABkcnMvZG93bnJldi54bWxQSwECFAAUAAAACACHTuJAMy8F&#10;njsAAAA5AAAAEAAAAAAAAAABACAAAAAMAQAAZHJzL3NoYXBleG1sLnhtbFBLBQYAAAAABgAGAFsB&#10;AAC2AwAAAAA=&#10;">
                    <v:fill on="f" focussize="0,0"/>
                    <v:stroke color="#000000" joinstyle="round" dashstyle="longDash"/>
                    <v:imagedata o:title=""/>
                    <o:lock v:ext="edit" aspectratio="f"/>
                  </v:line>
                  <v:shape id="Text Box 39" o:spid="_x0000_s1026" o:spt="202" type="#_x0000_t202" style="position:absolute;left:0;top:0;height:390;width:2100;" fillcolor="#FFFFFF" filled="t" stroked="f" coordsize="21600,21600" o:gfxdata="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Q4EbK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sz w:val="18"/>
                            </w:rPr>
                          </w:pPr>
                          <w:r>
                            <w:rPr>
                              <w:rFonts w:hint="eastAsia"/>
                              <w:sz w:val="18"/>
                            </w:rPr>
                            <w:t>损益平衡点=X+C</w:t>
                          </w:r>
                        </w:p>
                      </w:txbxContent>
                    </v:textbox>
                  </v:shape>
                </v:group>
              </v:group>
            </w:pict>
          </mc:Fallback>
        </mc:AlternateContent>
      </w:r>
    </w:p>
    <w:p>
      <w:pPr>
        <w:spacing w:line="360" w:lineRule="auto"/>
        <w:ind w:firstLine="480" w:firstLineChars="200"/>
        <w:rPr>
          <w:rFonts w:ascii="仿宋" w:hAnsi="仿宋"/>
        </w:rPr>
      </w:pPr>
    </w:p>
    <w:p>
      <w:pPr>
        <w:spacing w:line="360" w:lineRule="auto"/>
        <w:ind w:firstLine="480" w:firstLineChars="200"/>
        <w:rPr>
          <w:rFonts w:ascii="仿宋" w:hAnsi="仿宋"/>
        </w:rPr>
      </w:pPr>
    </w:p>
    <w:p>
      <w:pPr>
        <w:spacing w:line="360" w:lineRule="auto"/>
        <w:ind w:firstLine="480" w:firstLineChars="200"/>
        <w:rPr>
          <w:rFonts w:ascii="仿宋" w:hAnsi="仿宋"/>
        </w:rPr>
      </w:pPr>
    </w:p>
    <w:p>
      <w:pPr>
        <w:spacing w:line="360" w:lineRule="auto"/>
        <w:ind w:firstLine="480" w:firstLineChars="200"/>
        <w:rPr>
          <w:rFonts w:ascii="仿宋" w:hAnsi="仿宋"/>
        </w:rPr>
      </w:pPr>
    </w:p>
    <w:p>
      <w:pPr>
        <w:spacing w:line="360" w:lineRule="auto"/>
        <w:ind w:firstLine="480" w:firstLineChars="200"/>
        <w:rPr>
          <w:rFonts w:ascii="仿宋" w:hAnsi="仿宋"/>
        </w:rPr>
      </w:pPr>
    </w:p>
    <w:p>
      <w:pPr>
        <w:spacing w:line="360" w:lineRule="auto"/>
        <w:ind w:firstLine="480" w:firstLineChars="200"/>
        <w:rPr>
          <w:rFonts w:ascii="仿宋" w:hAnsi="仿宋"/>
        </w:rPr>
      </w:pPr>
    </w:p>
    <w:p>
      <w:pPr>
        <w:spacing w:line="360" w:lineRule="auto"/>
        <w:ind w:firstLine="480" w:firstLineChars="200"/>
        <w:rPr>
          <w:rFonts w:ascii="仿宋" w:hAnsi="仿宋"/>
        </w:rPr>
      </w:pPr>
    </w:p>
    <w:p>
      <w:pPr>
        <w:spacing w:line="360" w:lineRule="auto"/>
        <w:ind w:firstLine="480" w:firstLineChars="200"/>
        <w:rPr>
          <w:rFonts w:ascii="仿宋" w:hAnsi="仿宋"/>
          <w:bCs/>
          <w:kern w:val="0"/>
        </w:rPr>
      </w:pPr>
    </w:p>
    <w:p>
      <w:pPr>
        <w:spacing w:line="360" w:lineRule="auto"/>
        <w:ind w:firstLine="480" w:firstLineChars="200"/>
        <w:rPr>
          <w:rFonts w:ascii="仿宋" w:hAnsi="仿宋"/>
          <w:bCs/>
          <w:kern w:val="0"/>
        </w:rPr>
      </w:pPr>
      <w:r>
        <w:rPr>
          <w:rFonts w:hint="eastAsia" w:ascii="仿宋" w:hAnsi="仿宋"/>
          <w:bCs/>
          <w:kern w:val="0"/>
        </w:rPr>
        <w:t>看涨期权的卖方在获得一笔权利金后，便拥有了按约定的执行价格卖出相关标的资产的义务。一旦标的资产价格上涨，买方执行期权，卖方被指定履约时，必须以较低的市场价格（执行价格）向买方出售标的资产；如果标的资产价格下跌，买方放弃行权，卖方最大的收益为权利金；卖方也可在期权价格上涨或下跌时买进期权平仓，获得权利金价差收益或减少价格向不利方向变动时的更大损失。</w:t>
      </w:r>
    </w:p>
    <w:p>
      <w:pPr>
        <w:spacing w:line="360" w:lineRule="auto"/>
        <w:ind w:firstLine="480" w:firstLineChars="200"/>
        <w:rPr>
          <w:rFonts w:ascii="仿宋" w:hAnsi="仿宋"/>
          <w:bCs/>
          <w:kern w:val="0"/>
        </w:rPr>
      </w:pPr>
      <w:r>
        <w:rPr>
          <w:rFonts w:hint="eastAsia" w:ascii="仿宋" w:hAnsi="仿宋"/>
          <w:bCs/>
          <w:kern w:val="0"/>
        </w:rPr>
        <w:t>看涨期权空头最大收益为权利金，标的物市场价格处于横盘整理或下跌，对看涨期权的卖方有利，如果预期标的物市场价格窄幅整理或下跌，可通过卖出看涨期权获利。</w:t>
      </w:r>
    </w:p>
    <w:p>
      <w:pPr>
        <w:spacing w:line="360" w:lineRule="auto"/>
        <w:ind w:firstLine="480" w:firstLineChars="200"/>
        <w:rPr>
          <w:rFonts w:ascii="仿宋" w:hAnsi="仿宋"/>
          <w:bCs/>
          <w:kern w:val="0"/>
        </w:rPr>
      </w:pPr>
      <w:r>
        <w:rPr>
          <w:rFonts w:ascii="仿宋" w:hAnsi="仿宋"/>
        </w:rPr>
        <w:t xml:space="preserve"> 3</w:t>
      </w:r>
      <w:r>
        <w:rPr>
          <w:rFonts w:hint="eastAsia" w:ascii="仿宋" w:hAnsi="仿宋"/>
        </w:rPr>
        <w:t>、</w:t>
      </w:r>
      <w:r>
        <w:rPr>
          <w:rFonts w:hint="eastAsia" w:ascii="仿宋" w:hAnsi="仿宋"/>
          <w:bCs/>
          <w:kern w:val="0"/>
        </w:rPr>
        <w:t>看跌期权多头损益分析</w:t>
      </w:r>
    </w:p>
    <w:p>
      <w:pPr>
        <w:spacing w:line="360" w:lineRule="auto"/>
        <w:ind w:firstLine="480" w:firstLineChars="200"/>
        <w:rPr>
          <w:rFonts w:ascii="仿宋" w:hAnsi="仿宋"/>
          <w:bCs/>
          <w:kern w:val="0"/>
        </w:rPr>
      </w:pPr>
      <w:r>
        <mc:AlternateContent>
          <mc:Choice Requires="wpg">
            <w:drawing>
              <wp:anchor distT="0" distB="0" distL="114300" distR="114300" simplePos="0" relativeHeight="251656192" behindDoc="0" locked="0" layoutInCell="1" allowOverlap="1">
                <wp:simplePos x="0" y="0"/>
                <wp:positionH relativeFrom="column">
                  <wp:posOffset>469900</wp:posOffset>
                </wp:positionH>
                <wp:positionV relativeFrom="paragraph">
                  <wp:posOffset>278130</wp:posOffset>
                </wp:positionV>
                <wp:extent cx="2962275" cy="2477770"/>
                <wp:effectExtent l="3175" t="3810" r="0" b="4445"/>
                <wp:wrapNone/>
                <wp:docPr id="16" name="Group 40"/>
                <wp:cNvGraphicFramePr/>
                <a:graphic xmlns:a="http://schemas.openxmlformats.org/drawingml/2006/main">
                  <a:graphicData uri="http://schemas.microsoft.com/office/word/2010/wordprocessingGroup">
                    <wpg:wgp>
                      <wpg:cNvGrpSpPr/>
                      <wpg:grpSpPr>
                        <a:xfrm>
                          <a:off x="0" y="0"/>
                          <a:ext cx="2962275" cy="2477770"/>
                          <a:chOff x="0" y="0"/>
                          <a:chExt cx="4320" cy="3902"/>
                        </a:xfrm>
                      </wpg:grpSpPr>
                      <wps:wsp>
                        <wps:cNvPr id="17" name="Text Box 41"/>
                        <wps:cNvSpPr txBox="1">
                          <a:spLocks noChangeArrowheads="1"/>
                        </wps:cNvSpPr>
                        <wps:spPr bwMode="auto">
                          <a:xfrm>
                            <a:off x="360" y="3432"/>
                            <a:ext cx="3420" cy="470"/>
                          </a:xfrm>
                          <a:prstGeom prst="rect">
                            <a:avLst/>
                          </a:prstGeom>
                          <a:solidFill>
                            <a:srgbClr val="FFFFFF"/>
                          </a:solidFill>
                          <a:ln>
                            <a:noFill/>
                          </a:ln>
                        </wps:spPr>
                        <wps:txbx>
                          <w:txbxContent>
                            <w:p>
                              <w:pPr>
                                <w:ind w:firstLine="360" w:firstLineChars="200"/>
                                <w:rPr>
                                  <w:sz w:val="18"/>
                                </w:rPr>
                              </w:pPr>
                              <w:r>
                                <w:rPr>
                                  <w:rFonts w:hint="eastAsia"/>
                                  <w:sz w:val="18"/>
                                </w:rPr>
                                <w:t>图3   看跌期权多头到期时损益状态</w:t>
                              </w:r>
                            </w:p>
                          </w:txbxContent>
                        </wps:txbx>
                        <wps:bodyPr rot="0" vert="horz" wrap="square" lIns="91440" tIns="45720" rIns="91440" bIns="45720" anchor="t" anchorCtr="0" upright="1">
                          <a:spAutoFit/>
                        </wps:bodyPr>
                      </wps:wsp>
                      <wpg:grpSp>
                        <wpg:cNvPr id="18" name="Group 42"/>
                        <wpg:cNvGrpSpPr/>
                        <wpg:grpSpPr>
                          <a:xfrm>
                            <a:off x="0" y="0"/>
                            <a:ext cx="4320" cy="3276"/>
                            <a:chOff x="0" y="0"/>
                            <a:chExt cx="4320" cy="3276"/>
                          </a:xfrm>
                        </wpg:grpSpPr>
                        <wps:wsp>
                          <wps:cNvPr id="19" name="Text Box 43"/>
                          <wps:cNvSpPr txBox="1">
                            <a:spLocks noChangeArrowheads="1"/>
                          </wps:cNvSpPr>
                          <wps:spPr bwMode="auto">
                            <a:xfrm>
                              <a:off x="1980" y="2808"/>
                              <a:ext cx="300" cy="390"/>
                            </a:xfrm>
                            <a:prstGeom prst="rect">
                              <a:avLst/>
                            </a:prstGeom>
                            <a:solidFill>
                              <a:srgbClr val="FFFFFF"/>
                            </a:solidFill>
                            <a:ln>
                              <a:noFill/>
                            </a:ln>
                          </wps:spPr>
                          <wps:txbx>
                            <w:txbxContent>
                              <w:p>
                                <w:pPr>
                                  <w:rPr>
                                    <w:sz w:val="18"/>
                                  </w:rPr>
                                </w:pPr>
                                <w:r>
                                  <w:rPr>
                                    <w:rFonts w:hint="eastAsia"/>
                                    <w:sz w:val="18"/>
                                  </w:rPr>
                                  <w:t>X</w:t>
                                </w:r>
                              </w:p>
                            </w:txbxContent>
                          </wps:txbx>
                          <wps:bodyPr rot="0" vert="horz" wrap="square" lIns="91440" tIns="45720" rIns="91440" bIns="45720" anchor="t" anchorCtr="0" upright="1">
                            <a:noAutofit/>
                          </wps:bodyPr>
                        </wps:wsp>
                        <wps:wsp>
                          <wps:cNvPr id="20" name="Text Box 44"/>
                          <wps:cNvSpPr txBox="1">
                            <a:spLocks noChangeArrowheads="1"/>
                          </wps:cNvSpPr>
                          <wps:spPr bwMode="auto">
                            <a:xfrm>
                              <a:off x="0" y="1924"/>
                              <a:ext cx="300" cy="390"/>
                            </a:xfrm>
                            <a:prstGeom prst="rect">
                              <a:avLst/>
                            </a:prstGeom>
                            <a:solidFill>
                              <a:srgbClr val="FFFFFF"/>
                            </a:solidFill>
                            <a:ln>
                              <a:noFill/>
                            </a:ln>
                          </wps:spPr>
                          <wps:txbx>
                            <w:txbxContent>
                              <w:p>
                                <w:r>
                                  <w:rPr>
                                    <w:rFonts w:hint="eastAsia"/>
                                  </w:rPr>
                                  <w:t>0</w:t>
                                </w:r>
                              </w:p>
                            </w:txbxContent>
                          </wps:txbx>
                          <wps:bodyPr rot="0" vert="horz" wrap="square" lIns="91440" tIns="45720" rIns="91440" bIns="45720" anchor="t" anchorCtr="0" upright="1">
                            <a:noAutofit/>
                          </wps:bodyPr>
                        </wps:wsp>
                        <wps:wsp>
                          <wps:cNvPr id="21" name="Text Box 45"/>
                          <wps:cNvSpPr txBox="1">
                            <a:spLocks noChangeArrowheads="1"/>
                          </wps:cNvSpPr>
                          <wps:spPr bwMode="auto">
                            <a:xfrm>
                              <a:off x="0" y="0"/>
                              <a:ext cx="840" cy="468"/>
                            </a:xfrm>
                            <a:prstGeom prst="rect">
                              <a:avLst/>
                            </a:prstGeom>
                            <a:solidFill>
                              <a:srgbClr val="FFFFFF"/>
                            </a:solidFill>
                            <a:ln>
                              <a:noFill/>
                            </a:ln>
                          </wps:spPr>
                          <wps:txbx>
                            <w:txbxContent>
                              <w:p>
                                <w:pPr>
                                  <w:rPr>
                                    <w:sz w:val="18"/>
                                  </w:rPr>
                                </w:pPr>
                                <w:r>
                                  <w:rPr>
                                    <w:rFonts w:hint="eastAsia"/>
                                    <w:sz w:val="18"/>
                                  </w:rPr>
                                  <w:t>损益</w:t>
                                </w:r>
                              </w:p>
                            </w:txbxContent>
                          </wps:txbx>
                          <wps:bodyPr rot="0" vert="horz" wrap="square" lIns="91440" tIns="45720" rIns="91440" bIns="45720" anchor="t" anchorCtr="0" upright="1">
                            <a:noAutofit/>
                          </wps:bodyPr>
                        </wps:wsp>
                        <wps:wsp>
                          <wps:cNvPr id="22" name="Line 46"/>
                          <wps:cNvCnPr>
                            <a:cxnSpLocks noChangeShapeType="1"/>
                          </wps:cNvCnPr>
                          <wps:spPr bwMode="auto">
                            <a:xfrm flipV="1">
                              <a:off x="2160" y="2808"/>
                              <a:ext cx="1800" cy="1"/>
                            </a:xfrm>
                            <a:prstGeom prst="line">
                              <a:avLst/>
                            </a:prstGeom>
                            <a:noFill/>
                            <a:ln w="19050">
                              <a:solidFill>
                                <a:srgbClr val="000000"/>
                              </a:solidFill>
                              <a:round/>
                            </a:ln>
                            <a:effectLst/>
                          </wps:spPr>
                          <wps:bodyPr/>
                        </wps:wsp>
                        <wps:wsp>
                          <wps:cNvPr id="23" name="Text Box 47"/>
                          <wps:cNvSpPr txBox="1">
                            <a:spLocks noChangeArrowheads="1"/>
                          </wps:cNvSpPr>
                          <wps:spPr bwMode="auto">
                            <a:xfrm>
                              <a:off x="0" y="2652"/>
                              <a:ext cx="540" cy="390"/>
                            </a:xfrm>
                            <a:prstGeom prst="rect">
                              <a:avLst/>
                            </a:prstGeom>
                            <a:solidFill>
                              <a:srgbClr val="FFFFFF"/>
                            </a:solidFill>
                            <a:ln>
                              <a:noFill/>
                            </a:ln>
                          </wps:spPr>
                          <wps:txbx>
                            <w:txbxContent>
                              <w:p>
                                <w:pPr>
                                  <w:rPr>
                                    <w:sz w:val="18"/>
                                  </w:rPr>
                                </w:pPr>
                                <w:r>
                                  <w:rPr>
                                    <w:rFonts w:hint="eastAsia"/>
                                    <w:sz w:val="18"/>
                                  </w:rPr>
                                  <w:t>-P</w:t>
                                </w:r>
                              </w:p>
                            </w:txbxContent>
                          </wps:txbx>
                          <wps:bodyPr rot="0" vert="horz" wrap="square" lIns="91440" tIns="45720" rIns="91440" bIns="45720" anchor="t" anchorCtr="0" upright="1">
                            <a:noAutofit/>
                          </wps:bodyPr>
                        </wps:wsp>
                        <wps:wsp>
                          <wps:cNvPr id="24" name="Line 48"/>
                          <wps:cNvCnPr>
                            <a:cxnSpLocks noChangeShapeType="1"/>
                          </wps:cNvCnPr>
                          <wps:spPr bwMode="auto">
                            <a:xfrm flipV="1">
                              <a:off x="360" y="2184"/>
                              <a:ext cx="3420" cy="24"/>
                            </a:xfrm>
                            <a:prstGeom prst="line">
                              <a:avLst/>
                            </a:prstGeom>
                            <a:noFill/>
                            <a:ln w="9525">
                              <a:solidFill>
                                <a:srgbClr val="545472"/>
                              </a:solidFill>
                              <a:round/>
                              <a:tailEnd type="triangle" w="med" len="med"/>
                            </a:ln>
                            <a:effectLst/>
                          </wps:spPr>
                          <wps:bodyPr/>
                        </wps:wsp>
                        <wps:wsp>
                          <wps:cNvPr id="25" name="Line 49"/>
                          <wps:cNvCnPr>
                            <a:cxnSpLocks noChangeShapeType="1"/>
                          </wps:cNvCnPr>
                          <wps:spPr bwMode="auto">
                            <a:xfrm flipV="1">
                              <a:off x="360" y="468"/>
                              <a:ext cx="0" cy="2808"/>
                            </a:xfrm>
                            <a:prstGeom prst="line">
                              <a:avLst/>
                            </a:prstGeom>
                            <a:noFill/>
                            <a:ln w="9525">
                              <a:solidFill>
                                <a:srgbClr val="545472"/>
                              </a:solidFill>
                              <a:round/>
                              <a:tailEnd type="triangle" w="med" len="med"/>
                            </a:ln>
                            <a:effectLst/>
                          </wps:spPr>
                          <wps:bodyPr/>
                        </wps:wsp>
                        <wps:wsp>
                          <wps:cNvPr id="26" name="Text Box 50"/>
                          <wps:cNvSpPr txBox="1">
                            <a:spLocks noChangeArrowheads="1"/>
                          </wps:cNvSpPr>
                          <wps:spPr bwMode="auto">
                            <a:xfrm>
                              <a:off x="3780" y="1872"/>
                              <a:ext cx="540" cy="468"/>
                            </a:xfrm>
                            <a:prstGeom prst="rect">
                              <a:avLst/>
                            </a:prstGeom>
                            <a:solidFill>
                              <a:srgbClr val="FFFFFF"/>
                            </a:solidFill>
                            <a:ln>
                              <a:noFill/>
                            </a:ln>
                          </wps:spPr>
                          <wps:txbx>
                            <w:txbxContent>
                              <w:p>
                                <w:pPr>
                                  <w:rPr>
                                    <w:sz w:val="18"/>
                                  </w:rPr>
                                </w:pPr>
                                <w:r>
                                  <w:rPr>
                                    <w:rFonts w:hint="eastAsia"/>
                                    <w:sz w:val="18"/>
                                  </w:rPr>
                                  <w:t>S</w:t>
                                </w:r>
                              </w:p>
                            </w:txbxContent>
                          </wps:txbx>
                          <wps:bodyPr rot="0" vert="horz" wrap="square" lIns="91440" tIns="45720" rIns="91440" bIns="45720" anchor="t" anchorCtr="0" upright="1">
                            <a:noAutofit/>
                          </wps:bodyPr>
                        </wps:wsp>
                        <wps:wsp>
                          <wps:cNvPr id="27" name="Line 51"/>
                          <wps:cNvCnPr>
                            <a:cxnSpLocks noChangeShapeType="1"/>
                          </wps:cNvCnPr>
                          <wps:spPr bwMode="auto">
                            <a:xfrm flipH="1" flipV="1">
                              <a:off x="360" y="1092"/>
                              <a:ext cx="1800" cy="1716"/>
                            </a:xfrm>
                            <a:prstGeom prst="line">
                              <a:avLst/>
                            </a:prstGeom>
                            <a:noFill/>
                            <a:ln w="19050">
                              <a:solidFill>
                                <a:srgbClr val="000000"/>
                              </a:solidFill>
                              <a:round/>
                            </a:ln>
                            <a:effectLst/>
                          </wps:spPr>
                          <wps:bodyPr/>
                        </wps:wsp>
                        <wps:wsp>
                          <wps:cNvPr id="28" name="Line 52"/>
                          <wps:cNvCnPr>
                            <a:cxnSpLocks noChangeShapeType="1"/>
                          </wps:cNvCnPr>
                          <wps:spPr bwMode="auto">
                            <a:xfrm flipH="1">
                              <a:off x="1620" y="1248"/>
                              <a:ext cx="360" cy="780"/>
                            </a:xfrm>
                            <a:prstGeom prst="line">
                              <a:avLst/>
                            </a:prstGeom>
                            <a:noFill/>
                            <a:ln w="9525">
                              <a:solidFill>
                                <a:srgbClr val="000000"/>
                              </a:solidFill>
                              <a:prstDash val="lgDash"/>
                              <a:round/>
                            </a:ln>
                          </wps:spPr>
                          <wps:bodyPr/>
                        </wps:wsp>
                        <wps:wsp>
                          <wps:cNvPr id="29" name="Text Box 53"/>
                          <wps:cNvSpPr txBox="1">
                            <a:spLocks noChangeArrowheads="1"/>
                          </wps:cNvSpPr>
                          <wps:spPr bwMode="auto">
                            <a:xfrm>
                              <a:off x="1440" y="780"/>
                              <a:ext cx="1800" cy="390"/>
                            </a:xfrm>
                            <a:prstGeom prst="rect">
                              <a:avLst/>
                            </a:prstGeom>
                            <a:solidFill>
                              <a:srgbClr val="FFFFFF"/>
                            </a:solidFill>
                            <a:ln>
                              <a:noFill/>
                            </a:ln>
                          </wps:spPr>
                          <wps:txbx>
                            <w:txbxContent>
                              <w:p>
                                <w:pPr>
                                  <w:rPr>
                                    <w:sz w:val="18"/>
                                  </w:rPr>
                                </w:pPr>
                                <w:r>
                                  <w:rPr>
                                    <w:rFonts w:hint="eastAsia"/>
                                    <w:sz w:val="18"/>
                                  </w:rPr>
                                  <w:t>损益平衡点=X-P</w:t>
                                </w:r>
                              </w:p>
                            </w:txbxContent>
                          </wps:txbx>
                          <wps:bodyPr rot="0" vert="horz" wrap="square" lIns="91440" tIns="45720" rIns="91440" bIns="45720" anchor="t" anchorCtr="0" upright="1">
                            <a:noAutofit/>
                          </wps:bodyPr>
                        </wps:wsp>
                        <wps:wsp>
                          <wps:cNvPr id="30" name="Line 54"/>
                          <wps:cNvCnPr>
                            <a:cxnSpLocks noChangeShapeType="1"/>
                          </wps:cNvCnPr>
                          <wps:spPr bwMode="auto">
                            <a:xfrm>
                              <a:off x="2160" y="2028"/>
                              <a:ext cx="0" cy="468"/>
                            </a:xfrm>
                            <a:prstGeom prst="line">
                              <a:avLst/>
                            </a:prstGeom>
                            <a:noFill/>
                            <a:ln w="9525">
                              <a:solidFill>
                                <a:srgbClr val="000000"/>
                              </a:solidFill>
                              <a:prstDash val="lgDash"/>
                              <a:round/>
                            </a:ln>
                          </wps:spPr>
                          <wps:bodyPr/>
                        </wps:wsp>
                        <wps:wsp>
                          <wps:cNvPr id="31" name="Line 55"/>
                          <wps:cNvCnPr>
                            <a:cxnSpLocks noChangeShapeType="1"/>
                          </wps:cNvCnPr>
                          <wps:spPr bwMode="auto">
                            <a:xfrm flipV="1">
                              <a:off x="540" y="2808"/>
                              <a:ext cx="1440" cy="1"/>
                            </a:xfrm>
                            <a:prstGeom prst="line">
                              <a:avLst/>
                            </a:prstGeom>
                            <a:noFill/>
                            <a:ln w="9525">
                              <a:solidFill>
                                <a:srgbClr val="545472"/>
                              </a:solidFill>
                              <a:prstDash val="lgDash"/>
                              <a:round/>
                            </a:ln>
                            <a:effectLst/>
                          </wps:spPr>
                          <wps:bodyPr/>
                        </wps:wsp>
                      </wpg:grpSp>
                    </wpg:wgp>
                  </a:graphicData>
                </a:graphic>
              </wp:anchor>
            </w:drawing>
          </mc:Choice>
          <mc:Fallback>
            <w:pict>
              <v:group id="Group 40" o:spid="_x0000_s1026" o:spt="203" style="position:absolute;left:0pt;margin-left:37pt;margin-top:21.9pt;height:195.1pt;width:233.25pt;z-index:251656192;mso-width-relative:page;mso-height-relative:page;" coordsize="4320,3902" o:gfxdata="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">
                <o:lock v:ext="edit" aspectratio="f"/>
                <v:shape id="Text Box 41" o:spid="_x0000_s1026" o:spt="202" type="#_x0000_t202" style="position:absolute;left:360;top:3432;height:470;width:3420;" fillcolor="#FFFFFF" filled="t" stroked="f" coordsize="21600,21600" o:gfxdata="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wiytvQAA&#10;ANsAAAAPAAAAAAAAAAEAIAAAACIAAABkcnMvZG93bnJldi54bWxQSwECFAAUAAAACACHTuJAMy8F&#10;njsAAAA5AAAAEAAAAAAAAAABACAAAAAMAQAAZHJzL3NoYXBleG1sLnhtbFBLBQYAAAAABgAGAFsB&#10;AAC2AwAAAAA=&#10;">
                  <v:fill on="t" focussize="0,0"/>
                  <v:stroke on="f"/>
                  <v:imagedata o:title=""/>
                  <o:lock v:ext="edit" aspectratio="f"/>
                  <v:textbox style="mso-fit-shape-to-text:t;">
                    <w:txbxContent>
                      <w:p>
                        <w:pPr>
                          <w:ind w:firstLine="360" w:firstLineChars="200"/>
                          <w:rPr>
                            <w:sz w:val="18"/>
                          </w:rPr>
                        </w:pPr>
                        <w:r>
                          <w:rPr>
                            <w:rFonts w:hint="eastAsia"/>
                            <w:sz w:val="18"/>
                          </w:rPr>
                          <w:t>图3   看跌期权多头到期时损益状态</w:t>
                        </w:r>
                      </w:p>
                    </w:txbxContent>
                  </v:textbox>
                </v:shape>
                <v:group id="Group 42" o:spid="_x0000_s1026" o:spt="203" style="position:absolute;left:0;top:0;height:3276;width:4320;" coordsize="4320,3276"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shape id="Text Box 43" o:spid="_x0000_s1026" o:spt="202" type="#_x0000_t202" style="position:absolute;left:1980;top:2808;height:390;width:300;" fillcolor="#FFFFFF" filled="t" stroked="f" coordsize="21600,21600" o:gfxdata="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NoAe+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sz w:val="18"/>
                            </w:rPr>
                          </w:pPr>
                          <w:r>
                            <w:rPr>
                              <w:rFonts w:hint="eastAsia"/>
                              <w:sz w:val="18"/>
                            </w:rPr>
                            <w:t>X</w:t>
                          </w:r>
                        </w:p>
                      </w:txbxContent>
                    </v:textbox>
                  </v:shape>
                  <v:shape id="Text Box 44" o:spid="_x0000_s1026" o:spt="202" type="#_x0000_t202" style="position:absolute;left:0;top:1924;height:390;width:300;" fillcolor="#FFFFFF" filled="t" stroked="f" coordsize="21600,21600" o:gfxdata="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w+Ys+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r>
                            <w:rPr>
                              <w:rFonts w:hint="eastAsia"/>
                            </w:rPr>
                            <w:t>0</w:t>
                          </w:r>
                        </w:p>
                      </w:txbxContent>
                    </v:textbox>
                  </v:shape>
                  <v:shape id="Text Box 45" o:spid="_x0000_s1026" o:spt="202" type="#_x0000_t202" style="position:absolute;left:0;top:0;height:468;width:840;" fillcolor="#FFFFFF" filled="t" stroked="f" coordsize="21600,21600" o:gfxdata="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3LHVL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rPr>
                              <w:sz w:val="18"/>
                            </w:rPr>
                          </w:pPr>
                          <w:r>
                            <w:rPr>
                              <w:rFonts w:hint="eastAsia"/>
                              <w:sz w:val="18"/>
                            </w:rPr>
                            <w:t>损益</w:t>
                          </w:r>
                        </w:p>
                      </w:txbxContent>
                    </v:textbox>
                  </v:shape>
                  <v:line id="Line 46" o:spid="_x0000_s1026" o:spt="20" style="position:absolute;left:2160;top:2808;flip:y;height:1;width:1800;" filled="f" stroked="t" coordsize="21600,21600" o:gfxdata="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BhJlQtwAAANsAAAAP&#10;AAAAAAAAAAEAIAAAACIAAABkcnMvZG93bnJldi54bWxQSwECFAAUAAAACACHTuJAMy8FnjsAAAA5&#10;AAAAEAAAAAAAAAABACAAAAAGAQAAZHJzL3NoYXBleG1sLnhtbFBLBQYAAAAABgAGAFsBAACwAwAA&#10;AAA=&#10;">
                    <v:fill on="f" focussize="0,0"/>
                    <v:stroke weight="1.5pt" color="#000000" joinstyle="round"/>
                    <v:imagedata o:title=""/>
                    <o:lock v:ext="edit" aspectratio="f"/>
                  </v:line>
                  <v:shape id="Text Box 47" o:spid="_x0000_s1026" o:spt="202" type="#_x0000_t202" style="position:absolute;left:0;top:2652;height:390;width:540;" fillcolor="#FFFFFF" filled="t" stroked="f" coordsize="21600,21600" o:gfxdata="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Oz8uL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rPr>
                              <w:sz w:val="18"/>
                            </w:rPr>
                          </w:pPr>
                          <w:r>
                            <w:rPr>
                              <w:rFonts w:hint="eastAsia"/>
                              <w:sz w:val="18"/>
                            </w:rPr>
                            <w:t>-P</w:t>
                          </w:r>
                        </w:p>
                      </w:txbxContent>
                    </v:textbox>
                  </v:shape>
                  <v:line id="Line 48" o:spid="_x0000_s1026" o:spt="20" style="position:absolute;left:360;top:2184;flip:y;height:24;width:3420;" filled="f" stroked="t" coordsize="21600,21600" o:gfxdata="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sKXdLsAAADb&#10;AAAADwAAAAAAAAABACAAAAAiAAAAZHJzL2Rvd25yZXYueG1sUEsBAhQAFAAAAAgAh07iQDMvBZ47&#10;AAAAOQAAABAAAAAAAAAAAQAgAAAACgEAAGRycy9zaGFwZXhtbC54bWxQSwUGAAAAAAYABgBbAQAA&#10;tAMAAAAA&#10;">
                    <v:fill on="f" focussize="0,0"/>
                    <v:stroke color="#545472" joinstyle="round" endarrow="block"/>
                    <v:imagedata o:title=""/>
                    <o:lock v:ext="edit" aspectratio="f"/>
                  </v:line>
                  <v:line id="Line 49" o:spid="_x0000_s1026" o:spt="20" style="position:absolute;left:360;top:468;flip:y;height:2808;width:0;" filled="f" stroked="t" coordsize="21600,21600" o:gfxdata="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2OMu+8AAAA&#10;2wAAAA8AAAAAAAAAAQAgAAAAIgAAAGRycy9kb3ducmV2LnhtbFBLAQIUABQAAAAIAIdO4kAzLwWe&#10;OwAAADkAAAAQAAAAAAAAAAEAIAAAAAsBAABkcnMvc2hhcGV4bWwueG1sUEsFBgAAAAAGAAYAWwEA&#10;ALUDAAAAAA==&#10;">
                    <v:fill on="f" focussize="0,0"/>
                    <v:stroke color="#545472" joinstyle="round" endarrow="block"/>
                    <v:imagedata o:title=""/>
                    <o:lock v:ext="edit" aspectratio="f"/>
                  </v:line>
                  <v:shape id="Text Box 50" o:spid="_x0000_s1026" o:spt="202" type="#_x0000_t202" style="position:absolute;left:3780;top:1872;height:468;width:540;" fillcolor="#FFFFFF" filled="t" stroked="f" coordsize="21600,21600" o:gfxdata="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ybXyC5AAAA2wAA&#10;AA8AAAAAAAAAAQAgAAAAIgAAAGRycy9kb3ducmV2LnhtbFBLAQIUABQAAAAIAIdO4kAzLwWeOwAA&#10;ADkAAAAQAAAAAAAAAAEAIAAAAAgBAABkcnMvc2hhcGV4bWwueG1sUEsFBgAAAAAGAAYAWwEAALID&#10;AAAAAA==&#10;">
                    <v:fill on="t" focussize="0,0"/>
                    <v:stroke on="f"/>
                    <v:imagedata o:title=""/>
                    <o:lock v:ext="edit" aspectratio="f"/>
                    <v:textbox>
                      <w:txbxContent>
                        <w:p>
                          <w:pPr>
                            <w:rPr>
                              <w:sz w:val="18"/>
                            </w:rPr>
                          </w:pPr>
                          <w:r>
                            <w:rPr>
                              <w:rFonts w:hint="eastAsia"/>
                              <w:sz w:val="18"/>
                            </w:rPr>
                            <w:t>S</w:t>
                          </w:r>
                        </w:p>
                      </w:txbxContent>
                    </v:textbox>
                  </v:shape>
                  <v:line id="Line 51" o:spid="_x0000_s1026" o:spt="20" style="position:absolute;left:360;top:1092;flip:x y;height:1716;width:1800;" filled="f" stroked="t" coordsize="21600,21600" o:gfxdata="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s6v5e8AAAA&#10;2w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line id="Line 52" o:spid="_x0000_s1026" o:spt="20" style="position:absolute;left:1620;top:1248;flip:x;height:780;width:360;" filled="f" stroked="t" coordsize="21600,21600" o:gfxdata="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9+ymbgAAADbAAAA&#10;DwAAAAAAAAABACAAAAAiAAAAZHJzL2Rvd25yZXYueG1sUEsBAhQAFAAAAAgAh07iQDMvBZ47AAAA&#10;OQAAABAAAAAAAAAAAQAgAAAABwEAAGRycy9zaGFwZXhtbC54bWxQSwUGAAAAAAYABgBbAQAAsQMA&#10;AAAA&#10;">
                    <v:fill on="f" focussize="0,0"/>
                    <v:stroke color="#000000" joinstyle="round" dashstyle="longDash"/>
                    <v:imagedata o:title=""/>
                    <o:lock v:ext="edit" aspectratio="f"/>
                  </v:line>
                  <v:shape id="Text Box 53" o:spid="_x0000_s1026" o:spt="202" type="#_x0000_t202" style="position:absolute;left:1440;top:780;height:390;width:1800;" fillcolor="#FFFFFF" filled="t" stroked="f" coordsize="21600,21600" o:gfxdata="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QTLUr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rPr>
                              <w:sz w:val="18"/>
                            </w:rPr>
                          </w:pPr>
                          <w:r>
                            <w:rPr>
                              <w:rFonts w:hint="eastAsia"/>
                              <w:sz w:val="18"/>
                            </w:rPr>
                            <w:t>损益平衡点=X-P</w:t>
                          </w:r>
                        </w:p>
                      </w:txbxContent>
                    </v:textbox>
                  </v:shape>
                  <v:line id="Line 54" o:spid="_x0000_s1026" o:spt="20" style="position:absolute;left:2160;top:2028;height:468;width:0;" filled="f" stroked="t" coordsize="21600,21600" o:gfxdata="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1tNThtwAAANsAAAAP&#10;AAAAAAAAAAEAIAAAACIAAABkcnMvZG93bnJldi54bWxQSwECFAAUAAAACACHTuJAMy8FnjsAAAA5&#10;AAAAEAAAAAAAAAABACAAAAAGAQAAZHJzL3NoYXBleG1sLnhtbFBLBQYAAAAABgAGAFsBAACwAwAA&#10;AAA=&#10;">
                    <v:fill on="f" focussize="0,0"/>
                    <v:stroke color="#000000" joinstyle="round" dashstyle="longDash"/>
                    <v:imagedata o:title=""/>
                    <o:lock v:ext="edit" aspectratio="f"/>
                  </v:line>
                  <v:line id="Line 55" o:spid="_x0000_s1026" o:spt="20" style="position:absolute;left:540;top:2808;flip:y;height:1;width:1440;" filled="f" stroked="t" coordsize="21600,21600" o:gfxdata="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QFdnC8AAAA&#10;2wAAAA8AAAAAAAAAAQAgAAAAIgAAAGRycy9kb3ducmV2LnhtbFBLAQIUABQAAAAIAIdO4kAzLwWe&#10;OwAAADkAAAAQAAAAAAAAAAEAIAAAAAsBAABkcnMvc2hhcGV4bWwueG1sUEsFBgAAAAAGAAYAWwEA&#10;ALUDAAAAAA==&#10;">
                    <v:fill on="f" focussize="0,0"/>
                    <v:stroke color="#545472" joinstyle="round" dashstyle="longDash"/>
                    <v:imagedata o:title=""/>
                    <o:lock v:ext="edit" aspectratio="f"/>
                  </v:line>
                </v:group>
              </v:group>
            </w:pict>
          </mc:Fallback>
        </mc:AlternateContent>
      </w:r>
      <w:r>
        <w:rPr>
          <w:rFonts w:hint="eastAsia" w:ascii="仿宋" w:hAnsi="仿宋"/>
          <w:bCs/>
          <w:kern w:val="0"/>
        </w:rPr>
        <w:t>买进看跌期权最大损益结果或到期时的损益状况见图</w:t>
      </w:r>
      <w:r>
        <w:rPr>
          <w:rFonts w:ascii="仿宋" w:hAnsi="仿宋"/>
          <w:bCs/>
          <w:kern w:val="0"/>
        </w:rPr>
        <w:t>3。</w:t>
      </w:r>
    </w:p>
    <w:p>
      <w:pPr>
        <w:spacing w:line="360" w:lineRule="auto"/>
        <w:ind w:firstLine="480" w:firstLineChars="200"/>
        <w:rPr>
          <w:rFonts w:ascii="仿宋" w:hAnsi="仿宋"/>
          <w:bCs/>
          <w:kern w:val="0"/>
        </w:rPr>
      </w:pPr>
    </w:p>
    <w:p>
      <w:pPr>
        <w:spacing w:line="360" w:lineRule="auto"/>
        <w:ind w:firstLine="480" w:firstLineChars="200"/>
        <w:rPr>
          <w:rFonts w:ascii="仿宋" w:hAnsi="仿宋"/>
          <w:bCs/>
          <w:kern w:val="0"/>
        </w:rPr>
      </w:pPr>
    </w:p>
    <w:p>
      <w:pPr>
        <w:spacing w:line="360" w:lineRule="auto"/>
        <w:ind w:firstLine="480" w:firstLineChars="200"/>
        <w:rPr>
          <w:rFonts w:ascii="仿宋" w:hAnsi="仿宋"/>
          <w:bCs/>
          <w:kern w:val="0"/>
        </w:rPr>
      </w:pPr>
    </w:p>
    <w:p>
      <w:pPr>
        <w:spacing w:line="360" w:lineRule="auto"/>
        <w:ind w:firstLine="480" w:firstLineChars="200"/>
        <w:rPr>
          <w:rFonts w:ascii="仿宋" w:hAnsi="仿宋"/>
          <w:bCs/>
          <w:kern w:val="0"/>
        </w:rPr>
      </w:pPr>
    </w:p>
    <w:p>
      <w:pPr>
        <w:spacing w:line="360" w:lineRule="auto"/>
        <w:ind w:firstLine="480" w:firstLineChars="200"/>
        <w:rPr>
          <w:rFonts w:ascii="仿宋" w:hAnsi="仿宋"/>
          <w:bCs/>
          <w:kern w:val="0"/>
        </w:rPr>
      </w:pPr>
    </w:p>
    <w:p>
      <w:pPr>
        <w:spacing w:line="360" w:lineRule="auto"/>
        <w:ind w:firstLine="480" w:firstLineChars="200"/>
        <w:rPr>
          <w:rFonts w:ascii="仿宋" w:hAnsi="仿宋"/>
          <w:bCs/>
          <w:kern w:val="0"/>
        </w:rPr>
      </w:pPr>
    </w:p>
    <w:p>
      <w:pPr>
        <w:spacing w:line="360" w:lineRule="auto"/>
        <w:ind w:firstLine="480" w:firstLineChars="200"/>
        <w:rPr>
          <w:rFonts w:ascii="仿宋" w:hAnsi="仿宋"/>
          <w:bCs/>
          <w:kern w:val="0"/>
        </w:rPr>
      </w:pPr>
    </w:p>
    <w:p>
      <w:pPr>
        <w:spacing w:line="360" w:lineRule="auto"/>
        <w:ind w:firstLine="480" w:firstLineChars="200"/>
        <w:rPr>
          <w:rFonts w:ascii="仿宋" w:hAnsi="仿宋"/>
          <w:bCs/>
          <w:kern w:val="0"/>
        </w:rPr>
      </w:pPr>
    </w:p>
    <w:p>
      <w:pPr>
        <w:spacing w:line="360" w:lineRule="auto"/>
        <w:ind w:firstLine="480" w:firstLineChars="200"/>
        <w:rPr>
          <w:rFonts w:ascii="仿宋" w:hAnsi="仿宋"/>
          <w:bCs/>
          <w:kern w:val="0"/>
        </w:rPr>
      </w:pPr>
      <w:r>
        <w:rPr>
          <w:rFonts w:hint="eastAsia" w:ascii="仿宋" w:hAnsi="仿宋"/>
          <w:bCs/>
          <w:kern w:val="0"/>
        </w:rPr>
        <w:t>图中</w:t>
      </w:r>
      <w:r>
        <w:rPr>
          <w:rFonts w:ascii="仿宋" w:hAnsi="仿宋"/>
          <w:bCs/>
          <w:kern w:val="0"/>
        </w:rPr>
        <w:t>P为看跌期权的权利金，其他字符与图1，图2相同。</w:t>
      </w:r>
    </w:p>
    <w:p>
      <w:pPr>
        <w:spacing w:line="360" w:lineRule="auto"/>
        <w:ind w:firstLine="480" w:firstLineChars="200"/>
        <w:rPr>
          <w:rFonts w:ascii="仿宋" w:hAnsi="仿宋"/>
          <w:bCs/>
          <w:kern w:val="0"/>
        </w:rPr>
      </w:pPr>
      <w:r>
        <w:rPr>
          <w:rFonts w:hint="eastAsia" w:ascii="仿宋" w:hAnsi="仿宋"/>
          <w:bCs/>
          <w:kern w:val="0"/>
        </w:rPr>
        <w:t>看跌期权的买方在支付一笔权利金后，便可享有按约定的执行价格卖出相关标的物的权利，但不负有必须卖出的义务，从而锁定了标的物价格下跌可能存在的潜在损失。一旦标的物价格下跌，便可执行期权，以较高的市场价格（执行价格）出售标的物；或者在期权价格上涨时卖出期权平仓。</w:t>
      </w:r>
    </w:p>
    <w:p>
      <w:pPr>
        <w:spacing w:line="360" w:lineRule="auto"/>
        <w:ind w:firstLine="480" w:firstLineChars="200"/>
        <w:rPr>
          <w:rFonts w:ascii="仿宋" w:hAnsi="仿宋"/>
          <w:bCs/>
          <w:kern w:val="0"/>
        </w:rPr>
      </w:pPr>
      <w:r>
        <w:rPr>
          <w:rFonts w:hint="eastAsia" w:ascii="仿宋" w:hAnsi="仿宋"/>
          <w:bCs/>
          <w:kern w:val="0"/>
        </w:rPr>
        <w:t>看跌期权多头最大损失为权利金，标的物价格越低，对看跌期权的买方越有利，如果预期标的物市场价格下跌，可通过买进看跌期权获利。</w:t>
      </w:r>
    </w:p>
    <w:p>
      <w:pPr>
        <w:spacing w:line="360" w:lineRule="auto"/>
        <w:ind w:firstLine="480" w:firstLineChars="200"/>
        <w:rPr>
          <w:rFonts w:ascii="仿宋" w:hAnsi="仿宋"/>
          <w:bCs/>
          <w:kern w:val="0"/>
        </w:rPr>
      </w:pPr>
      <w:r>
        <w:rPr>
          <w:rFonts w:hint="eastAsia" w:ascii="仿宋" w:hAnsi="仿宋"/>
          <w:bCs/>
          <w:kern w:val="0"/>
        </w:rPr>
        <w:t>4、</w:t>
      </w:r>
      <w:r>
        <w:rPr>
          <w:rFonts w:ascii="仿宋" w:hAnsi="仿宋"/>
          <w:bCs/>
          <w:kern w:val="0"/>
        </w:rPr>
        <w:t>看跌期权空头损益分析</w:t>
      </w:r>
    </w:p>
    <w:p>
      <w:pPr>
        <w:spacing w:line="360" w:lineRule="auto"/>
        <w:ind w:firstLine="480" w:firstLineChars="200"/>
        <w:rPr>
          <w:rFonts w:ascii="仿宋" w:hAnsi="仿宋"/>
          <w:bCs/>
          <w:kern w:val="0"/>
        </w:rPr>
      </w:pPr>
      <w:r>
        <w:rPr>
          <w:rFonts w:hint="eastAsia" w:ascii="仿宋" w:hAnsi="仿宋"/>
          <w:bCs/>
          <w:kern w:val="0"/>
        </w:rPr>
        <w:t>卖出看跌期权最大损益结果或到期时的损益状况见图</w:t>
      </w:r>
      <w:r>
        <w:rPr>
          <w:rFonts w:ascii="仿宋" w:hAnsi="仿宋"/>
          <w:bCs/>
          <w:kern w:val="0"/>
        </w:rPr>
        <w:t>4。</w:t>
      </w:r>
    </w:p>
    <w:p>
      <w:pPr>
        <w:spacing w:line="360" w:lineRule="auto"/>
        <w:ind w:firstLine="480" w:firstLineChars="200"/>
        <w:rPr>
          <w:rFonts w:ascii="仿宋" w:hAnsi="仿宋"/>
          <w:bCs/>
          <w:kern w:val="0"/>
        </w:rPr>
      </w:pPr>
      <w:r>
        <mc:AlternateContent>
          <mc:Choice Requires="wpg">
            <w:drawing>
              <wp:anchor distT="0" distB="0" distL="114300" distR="114300" simplePos="0" relativeHeight="251652096" behindDoc="0" locked="0" layoutInCell="1" allowOverlap="1">
                <wp:simplePos x="0" y="0"/>
                <wp:positionH relativeFrom="column">
                  <wp:posOffset>533400</wp:posOffset>
                </wp:positionH>
                <wp:positionV relativeFrom="paragraph">
                  <wp:posOffset>85090</wp:posOffset>
                </wp:positionV>
                <wp:extent cx="2743200" cy="2378710"/>
                <wp:effectExtent l="0" t="0" r="0" b="5080"/>
                <wp:wrapNone/>
                <wp:docPr id="1" name="Group 56"/>
                <wp:cNvGraphicFramePr/>
                <a:graphic xmlns:a="http://schemas.openxmlformats.org/drawingml/2006/main">
                  <a:graphicData uri="http://schemas.microsoft.com/office/word/2010/wordprocessingGroup">
                    <wpg:wgp>
                      <wpg:cNvGrpSpPr/>
                      <wpg:grpSpPr>
                        <a:xfrm>
                          <a:off x="0" y="0"/>
                          <a:ext cx="2743200" cy="2378710"/>
                          <a:chOff x="0" y="0"/>
                          <a:chExt cx="4320" cy="3746"/>
                        </a:xfrm>
                      </wpg:grpSpPr>
                      <wps:wsp>
                        <wps:cNvPr id="2" name="Text Box 57"/>
                        <wps:cNvSpPr txBox="1">
                          <a:spLocks noChangeArrowheads="1"/>
                        </wps:cNvSpPr>
                        <wps:spPr bwMode="auto">
                          <a:xfrm>
                            <a:off x="0" y="0"/>
                            <a:ext cx="840" cy="468"/>
                          </a:xfrm>
                          <a:prstGeom prst="rect">
                            <a:avLst/>
                          </a:prstGeom>
                          <a:solidFill>
                            <a:srgbClr val="FFFFFF"/>
                          </a:solidFill>
                          <a:ln>
                            <a:noFill/>
                          </a:ln>
                        </wps:spPr>
                        <wps:txbx>
                          <w:txbxContent>
                            <w:p>
                              <w:pPr>
                                <w:rPr>
                                  <w:sz w:val="18"/>
                                </w:rPr>
                              </w:pPr>
                              <w:r>
                                <w:rPr>
                                  <w:rFonts w:hint="eastAsia"/>
                                  <w:sz w:val="18"/>
                                </w:rPr>
                                <w:t>损益</w:t>
                              </w:r>
                            </w:p>
                          </w:txbxContent>
                        </wps:txbx>
                        <wps:bodyPr rot="0" vert="horz" wrap="square" lIns="91440" tIns="45720" rIns="91440" bIns="45720" anchor="t" anchorCtr="0" upright="1">
                          <a:noAutofit/>
                        </wps:bodyPr>
                      </wps:wsp>
                      <wps:wsp>
                        <wps:cNvPr id="3" name="Text Box 58"/>
                        <wps:cNvSpPr txBox="1">
                          <a:spLocks noChangeArrowheads="1"/>
                        </wps:cNvSpPr>
                        <wps:spPr bwMode="auto">
                          <a:xfrm>
                            <a:off x="0" y="936"/>
                            <a:ext cx="540" cy="390"/>
                          </a:xfrm>
                          <a:prstGeom prst="rect">
                            <a:avLst/>
                          </a:prstGeom>
                          <a:solidFill>
                            <a:srgbClr val="FFFFFF"/>
                          </a:solidFill>
                          <a:ln>
                            <a:noFill/>
                          </a:ln>
                        </wps:spPr>
                        <wps:txbx>
                          <w:txbxContent>
                            <w:p>
                              <w:pPr>
                                <w:rPr>
                                  <w:sz w:val="18"/>
                                </w:rPr>
                              </w:pPr>
                              <w:r>
                                <w:rPr>
                                  <w:rFonts w:hint="eastAsia"/>
                                  <w:sz w:val="18"/>
                                </w:rPr>
                                <w:t>P</w:t>
                              </w:r>
                            </w:p>
                          </w:txbxContent>
                        </wps:txbx>
                        <wps:bodyPr rot="0" vert="horz" wrap="square" lIns="91440" tIns="45720" rIns="91440" bIns="45720" anchor="t" anchorCtr="0" upright="1">
                          <a:noAutofit/>
                        </wps:bodyPr>
                      </wps:wsp>
                      <wps:wsp>
                        <wps:cNvPr id="4" name="Text Box 59"/>
                        <wps:cNvSpPr txBox="1">
                          <a:spLocks noChangeArrowheads="1"/>
                        </wps:cNvSpPr>
                        <wps:spPr bwMode="auto">
                          <a:xfrm>
                            <a:off x="2160" y="694"/>
                            <a:ext cx="300" cy="390"/>
                          </a:xfrm>
                          <a:prstGeom prst="rect">
                            <a:avLst/>
                          </a:prstGeom>
                          <a:solidFill>
                            <a:srgbClr val="FFFFFF"/>
                          </a:solidFill>
                          <a:ln>
                            <a:noFill/>
                          </a:ln>
                        </wps:spPr>
                        <wps:txbx>
                          <w:txbxContent>
                            <w:p>
                              <w:pPr>
                                <w:rPr>
                                  <w:sz w:val="18"/>
                                </w:rPr>
                              </w:pPr>
                              <w:r>
                                <w:rPr>
                                  <w:rFonts w:hint="eastAsia"/>
                                  <w:sz w:val="18"/>
                                </w:rPr>
                                <w:t>X</w:t>
                              </w:r>
                            </w:p>
                          </w:txbxContent>
                        </wps:txbx>
                        <wps:bodyPr rot="0" vert="horz" wrap="square" lIns="91440" tIns="45720" rIns="91440" bIns="45720" anchor="t" anchorCtr="0" upright="1">
                          <a:noAutofit/>
                        </wps:bodyPr>
                      </wps:wsp>
                      <wps:wsp>
                        <wps:cNvPr id="5" name="Text Box 60"/>
                        <wps:cNvSpPr txBox="1">
                          <a:spLocks noChangeArrowheads="1"/>
                        </wps:cNvSpPr>
                        <wps:spPr bwMode="auto">
                          <a:xfrm>
                            <a:off x="0" y="1716"/>
                            <a:ext cx="300" cy="390"/>
                          </a:xfrm>
                          <a:prstGeom prst="rect">
                            <a:avLst/>
                          </a:prstGeom>
                          <a:solidFill>
                            <a:srgbClr val="FFFFFF"/>
                          </a:solidFill>
                          <a:ln>
                            <a:noFill/>
                          </a:ln>
                        </wps:spPr>
                        <wps:txbx>
                          <w:txbxContent>
                            <w:p>
                              <w:r>
                                <w:rPr>
                                  <w:rFonts w:hint="eastAsia"/>
                                </w:rPr>
                                <w:t>0</w:t>
                              </w:r>
                            </w:p>
                          </w:txbxContent>
                        </wps:txbx>
                        <wps:bodyPr rot="0" vert="horz" wrap="square" lIns="91440" tIns="45720" rIns="91440" bIns="45720" anchor="t" anchorCtr="0" upright="1">
                          <a:noAutofit/>
                        </wps:bodyPr>
                      </wps:wsp>
                      <wps:wsp>
                        <wps:cNvPr id="6" name="Text Box 61"/>
                        <wps:cNvSpPr txBox="1">
                          <a:spLocks noChangeArrowheads="1"/>
                        </wps:cNvSpPr>
                        <wps:spPr bwMode="auto">
                          <a:xfrm>
                            <a:off x="900" y="3276"/>
                            <a:ext cx="3420" cy="470"/>
                          </a:xfrm>
                          <a:prstGeom prst="rect">
                            <a:avLst/>
                          </a:prstGeom>
                          <a:solidFill>
                            <a:srgbClr val="FFFFFF"/>
                          </a:solidFill>
                          <a:ln>
                            <a:noFill/>
                          </a:ln>
                        </wps:spPr>
                        <wps:txbx>
                          <w:txbxContent>
                            <w:p>
                              <w:pPr>
                                <w:ind w:firstLine="360" w:firstLineChars="200"/>
                                <w:rPr>
                                  <w:sz w:val="18"/>
                                </w:rPr>
                              </w:pPr>
                              <w:r>
                                <w:rPr>
                                  <w:rFonts w:hint="eastAsia"/>
                                  <w:sz w:val="18"/>
                                </w:rPr>
                                <w:t>图4  卖出看跌期权损益状态</w:t>
                              </w:r>
                            </w:p>
                          </w:txbxContent>
                        </wps:txbx>
                        <wps:bodyPr rot="0" vert="horz" wrap="square" lIns="91440" tIns="45720" rIns="91440" bIns="45720" anchor="t" anchorCtr="0" upright="1">
                          <a:spAutoFit/>
                        </wps:bodyPr>
                      </wps:wsp>
                      <wps:wsp>
                        <wps:cNvPr id="7" name="Text Box 62"/>
                        <wps:cNvSpPr txBox="1">
                          <a:spLocks noChangeArrowheads="1"/>
                        </wps:cNvSpPr>
                        <wps:spPr bwMode="auto">
                          <a:xfrm>
                            <a:off x="3780" y="1560"/>
                            <a:ext cx="540" cy="468"/>
                          </a:xfrm>
                          <a:prstGeom prst="rect">
                            <a:avLst/>
                          </a:prstGeom>
                          <a:solidFill>
                            <a:srgbClr val="FFFFFF"/>
                          </a:solidFill>
                          <a:ln>
                            <a:noFill/>
                          </a:ln>
                        </wps:spPr>
                        <wps:txbx>
                          <w:txbxContent>
                            <w:p>
                              <w:pPr>
                                <w:rPr>
                                  <w:sz w:val="18"/>
                                </w:rPr>
                              </w:pPr>
                              <w:r>
                                <w:rPr>
                                  <w:rFonts w:hint="eastAsia"/>
                                  <w:sz w:val="18"/>
                                </w:rPr>
                                <w:t>S</w:t>
                              </w:r>
                            </w:p>
                          </w:txbxContent>
                        </wps:txbx>
                        <wps:bodyPr rot="0" vert="horz" wrap="square" lIns="91440" tIns="45720" rIns="91440" bIns="45720" anchor="t" anchorCtr="0" upright="1">
                          <a:noAutofit/>
                        </wps:bodyPr>
                      </wps:wsp>
                      <wps:wsp>
                        <wps:cNvPr id="8" name="Line 63"/>
                        <wps:cNvCnPr>
                          <a:cxnSpLocks noChangeShapeType="1"/>
                        </wps:cNvCnPr>
                        <wps:spPr bwMode="auto">
                          <a:xfrm flipV="1">
                            <a:off x="360" y="1872"/>
                            <a:ext cx="3420" cy="24"/>
                          </a:xfrm>
                          <a:prstGeom prst="line">
                            <a:avLst/>
                          </a:prstGeom>
                          <a:noFill/>
                          <a:ln w="9525">
                            <a:solidFill>
                              <a:srgbClr val="545472"/>
                            </a:solidFill>
                            <a:round/>
                            <a:tailEnd type="triangle" w="med" len="med"/>
                          </a:ln>
                          <a:effectLst/>
                        </wps:spPr>
                        <wps:bodyPr/>
                      </wps:wsp>
                      <wps:wsp>
                        <wps:cNvPr id="9" name="Line 64"/>
                        <wps:cNvCnPr>
                          <a:cxnSpLocks noChangeShapeType="1"/>
                        </wps:cNvCnPr>
                        <wps:spPr bwMode="auto">
                          <a:xfrm flipV="1">
                            <a:off x="360" y="468"/>
                            <a:ext cx="0" cy="3276"/>
                          </a:xfrm>
                          <a:prstGeom prst="line">
                            <a:avLst/>
                          </a:prstGeom>
                          <a:noFill/>
                          <a:ln w="9525">
                            <a:solidFill>
                              <a:srgbClr val="545472"/>
                            </a:solidFill>
                            <a:round/>
                            <a:tailEnd type="triangle" w="med" len="med"/>
                          </a:ln>
                          <a:effectLst/>
                        </wps:spPr>
                        <wps:bodyPr/>
                      </wps:wsp>
                      <wps:wsp>
                        <wps:cNvPr id="10" name="Line 65"/>
                        <wps:cNvCnPr>
                          <a:cxnSpLocks noChangeShapeType="1"/>
                        </wps:cNvCnPr>
                        <wps:spPr bwMode="auto">
                          <a:xfrm>
                            <a:off x="2340" y="1630"/>
                            <a:ext cx="0" cy="468"/>
                          </a:xfrm>
                          <a:prstGeom prst="line">
                            <a:avLst/>
                          </a:prstGeom>
                          <a:noFill/>
                          <a:ln w="9525">
                            <a:solidFill>
                              <a:srgbClr val="000000"/>
                            </a:solidFill>
                            <a:prstDash val="lgDash"/>
                            <a:round/>
                          </a:ln>
                        </wps:spPr>
                        <wps:bodyPr/>
                      </wps:wsp>
                      <wps:wsp>
                        <wps:cNvPr id="11" name="Line 66"/>
                        <wps:cNvCnPr>
                          <a:cxnSpLocks noChangeShapeType="1"/>
                        </wps:cNvCnPr>
                        <wps:spPr bwMode="auto">
                          <a:xfrm flipV="1">
                            <a:off x="2340" y="1162"/>
                            <a:ext cx="1800" cy="1"/>
                          </a:xfrm>
                          <a:prstGeom prst="line">
                            <a:avLst/>
                          </a:prstGeom>
                          <a:noFill/>
                          <a:ln w="19050">
                            <a:solidFill>
                              <a:srgbClr val="000000"/>
                            </a:solidFill>
                            <a:round/>
                          </a:ln>
                          <a:effectLst/>
                        </wps:spPr>
                        <wps:bodyPr/>
                      </wps:wsp>
                      <wps:wsp>
                        <wps:cNvPr id="12" name="Line 67"/>
                        <wps:cNvCnPr>
                          <a:cxnSpLocks noChangeShapeType="1"/>
                        </wps:cNvCnPr>
                        <wps:spPr bwMode="auto">
                          <a:xfrm flipH="1">
                            <a:off x="360" y="1162"/>
                            <a:ext cx="1980" cy="1958"/>
                          </a:xfrm>
                          <a:prstGeom prst="line">
                            <a:avLst/>
                          </a:prstGeom>
                          <a:noFill/>
                          <a:ln w="19050">
                            <a:solidFill>
                              <a:srgbClr val="000000"/>
                            </a:solidFill>
                            <a:round/>
                          </a:ln>
                          <a:effectLst/>
                        </wps:spPr>
                        <wps:bodyPr/>
                      </wps:wsp>
                      <wps:wsp>
                        <wps:cNvPr id="13" name="Line 68"/>
                        <wps:cNvCnPr>
                          <a:cxnSpLocks noChangeShapeType="1"/>
                        </wps:cNvCnPr>
                        <wps:spPr bwMode="auto">
                          <a:xfrm flipH="1" flipV="1">
                            <a:off x="1440" y="624"/>
                            <a:ext cx="180" cy="1248"/>
                          </a:xfrm>
                          <a:prstGeom prst="line">
                            <a:avLst/>
                          </a:prstGeom>
                          <a:noFill/>
                          <a:ln w="9525">
                            <a:solidFill>
                              <a:srgbClr val="000000"/>
                            </a:solidFill>
                            <a:prstDash val="lgDash"/>
                            <a:round/>
                          </a:ln>
                        </wps:spPr>
                        <wps:bodyPr/>
                      </wps:wsp>
                      <wps:wsp>
                        <wps:cNvPr id="14" name="Text Box 69"/>
                        <wps:cNvSpPr txBox="1">
                          <a:spLocks noChangeArrowheads="1"/>
                        </wps:cNvSpPr>
                        <wps:spPr bwMode="auto">
                          <a:xfrm>
                            <a:off x="720" y="226"/>
                            <a:ext cx="2100" cy="390"/>
                          </a:xfrm>
                          <a:prstGeom prst="rect">
                            <a:avLst/>
                          </a:prstGeom>
                          <a:solidFill>
                            <a:srgbClr val="FFFFFF"/>
                          </a:solidFill>
                          <a:ln>
                            <a:noFill/>
                          </a:ln>
                        </wps:spPr>
                        <wps:txbx>
                          <w:txbxContent>
                            <w:p>
                              <w:pPr>
                                <w:rPr>
                                  <w:sz w:val="18"/>
                                </w:rPr>
                              </w:pPr>
                              <w:r>
                                <w:rPr>
                                  <w:rFonts w:hint="eastAsia"/>
                                  <w:sz w:val="18"/>
                                </w:rPr>
                                <w:t>损益平衡点=X-P</w:t>
                              </w:r>
                            </w:p>
                          </w:txbxContent>
                        </wps:txbx>
                        <wps:bodyPr rot="0" vert="horz" wrap="square" lIns="91440" tIns="45720" rIns="91440" bIns="45720" anchor="t" anchorCtr="0" upright="1">
                          <a:noAutofit/>
                        </wps:bodyPr>
                      </wps:wsp>
                      <wps:wsp>
                        <wps:cNvPr id="15" name="Line 70"/>
                        <wps:cNvCnPr>
                          <a:cxnSpLocks noChangeShapeType="1"/>
                        </wps:cNvCnPr>
                        <wps:spPr bwMode="auto">
                          <a:xfrm>
                            <a:off x="540" y="1162"/>
                            <a:ext cx="1620" cy="0"/>
                          </a:xfrm>
                          <a:prstGeom prst="line">
                            <a:avLst/>
                          </a:prstGeom>
                          <a:noFill/>
                          <a:ln w="9525">
                            <a:solidFill>
                              <a:srgbClr val="000000"/>
                            </a:solidFill>
                            <a:prstDash val="lgDash"/>
                            <a:round/>
                          </a:ln>
                        </wps:spPr>
                        <wps:bodyPr/>
                      </wps:wsp>
                    </wpg:wgp>
                  </a:graphicData>
                </a:graphic>
              </wp:anchor>
            </w:drawing>
          </mc:Choice>
          <mc:Fallback>
            <w:pict>
              <v:group id="Group 56" o:spid="_x0000_s1026" o:spt="203" style="position:absolute;left:0pt;margin-left:42pt;margin-top:6.7pt;height:187.3pt;width:216pt;z-index:251652096;mso-width-relative:page;mso-height-relative:page;" coordsize="4320,3746" o:gfxdata="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">
                <o:lock v:ext="edit" aspectratio="f"/>
                <v:shape id="Text Box 57" o:spid="_x0000_s1026" o:spt="202" type="#_x0000_t202" style="position:absolute;left:0;top:0;height:468;width:840;" fillcolor="#FFFFFF" filled="t" stroked="f" coordsize="21600,21600" o:gfxdata="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gt8frtwAAANoAAAAP&#10;AAAAAAAAAAEAIAAAACIAAABkcnMvZG93bnJldi54bWxQSwECFAAUAAAACACHTuJAMy8FnjsAAAA5&#10;AAAAEAAAAAAAAAABACAAAAAGAQAAZHJzL3NoYXBleG1sLnhtbFBLBQYAAAAABgAGAFsBAACwAwAA&#10;AAA=&#10;">
                  <v:fill on="t" focussize="0,0"/>
                  <v:stroke on="f"/>
                  <v:imagedata o:title=""/>
                  <o:lock v:ext="edit" aspectratio="f"/>
                  <v:textbox>
                    <w:txbxContent>
                      <w:p>
                        <w:pPr>
                          <w:rPr>
                            <w:sz w:val="18"/>
                          </w:rPr>
                        </w:pPr>
                        <w:r>
                          <w:rPr>
                            <w:rFonts w:hint="eastAsia"/>
                            <w:sz w:val="18"/>
                          </w:rPr>
                          <w:t>损益</w:t>
                        </w:r>
                      </w:p>
                    </w:txbxContent>
                  </v:textbox>
                </v:shape>
                <v:shape id="Text Box 58" o:spid="_x0000_s1026" o:spt="202" type="#_x0000_t202" style="position:absolute;left:0;top:936;height:390;width:540;" fillcolor="#FFFFFF" filled="t" stroked="f" coordsize="21600,21600" o:gfxdata="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P+2JwtwAAANoAAAAP&#10;AAAAAAAAAAEAIAAAACIAAABkcnMvZG93bnJldi54bWxQSwECFAAUAAAACACHTuJAMy8FnjsAAAA5&#10;AAAAEAAAAAAAAAABACAAAAAGAQAAZHJzL3NoYXBleG1sLnhtbFBLBQYAAAAABgAGAFsBAACwAwAA&#10;AAA=&#10;">
                  <v:fill on="t" focussize="0,0"/>
                  <v:stroke on="f"/>
                  <v:imagedata o:title=""/>
                  <o:lock v:ext="edit" aspectratio="f"/>
                  <v:textbox>
                    <w:txbxContent>
                      <w:p>
                        <w:pPr>
                          <w:rPr>
                            <w:sz w:val="18"/>
                          </w:rPr>
                        </w:pPr>
                        <w:r>
                          <w:rPr>
                            <w:rFonts w:hint="eastAsia"/>
                            <w:sz w:val="18"/>
                          </w:rPr>
                          <w:t>P</w:t>
                        </w:r>
                      </w:p>
                    </w:txbxContent>
                  </v:textbox>
                </v:shape>
                <v:shape id="Text Box 59" o:spid="_x0000_s1026" o:spt="202" type="#_x0000_t202" style="position:absolute;left:2160;top:694;height:390;width:300;" fillcolor="#FFFFFF" filled="t" stroked="f" coordsize="21600,21600" o:gfxdata="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AEvoEtwAAANoAAAAP&#10;AAAAAAAAAAEAIAAAACIAAABkcnMvZG93bnJldi54bWxQSwECFAAUAAAACACHTuJAMy8FnjsAAAA5&#10;AAAAEAAAAAAAAAABACAAAAAGAQAAZHJzL3NoYXBleG1sLnhtbFBLBQYAAAAABgAGAFsBAACwAwAA&#10;AAA=&#10;">
                  <v:fill on="t" focussize="0,0"/>
                  <v:stroke on="f"/>
                  <v:imagedata o:title=""/>
                  <o:lock v:ext="edit" aspectratio="f"/>
                  <v:textbox>
                    <w:txbxContent>
                      <w:p>
                        <w:pPr>
                          <w:rPr>
                            <w:sz w:val="18"/>
                          </w:rPr>
                        </w:pPr>
                        <w:r>
                          <w:rPr>
                            <w:rFonts w:hint="eastAsia"/>
                            <w:sz w:val="18"/>
                          </w:rPr>
                          <w:t>X</w:t>
                        </w:r>
                      </w:p>
                    </w:txbxContent>
                  </v:textbox>
                </v:shape>
                <v:shape id="Text Box 60" o:spid="_x0000_s1026" o:spt="202" type="#_x0000_t202" style="position:absolute;left:0;top:1716;height:390;width:300;" fillcolor="#FFFFFF" filled="t" stroked="f" coordsize="21600,21600" o:gfxdata="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vXl+ftwAAANoAAAAP&#10;AAAAAAAAAAEAIAAAACIAAABkcnMvZG93bnJldi54bWxQSwECFAAUAAAACACHTuJAMy8FnjsAAAA5&#10;AAAAEAAAAAAAAAABACAAAAAGAQAAZHJzL3NoYXBleG1sLnhtbFBLBQYAAAAABgAGAFsBAACwAwAA&#10;AAA=&#10;">
                  <v:fill on="t" focussize="0,0"/>
                  <v:stroke on="f"/>
                  <v:imagedata o:title=""/>
                  <o:lock v:ext="edit" aspectratio="f"/>
                  <v:textbox>
                    <w:txbxContent>
                      <w:p>
                        <w:r>
                          <w:rPr>
                            <w:rFonts w:hint="eastAsia"/>
                          </w:rPr>
                          <w:t>0</w:t>
                        </w:r>
                      </w:p>
                    </w:txbxContent>
                  </v:textbox>
                </v:shape>
                <v:shape id="Text Box 61" o:spid="_x0000_s1026" o:spt="202" type="#_x0000_t202" style="position:absolute;left:900;top:3276;height:470;width:3420;" fillcolor="#FFFFFF" filled="t" stroked="f" coordsize="21600,21600" o:gfxdata="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G6FJbsAAADa&#10;AAAADwAAAAAAAAABACAAAAAiAAAAZHJzL2Rvd25yZXYueG1sUEsBAhQAFAAAAAgAh07iQDMvBZ47&#10;AAAAOQAAABAAAAAAAAAAAQAgAAAACgEAAGRycy9zaGFwZXhtbC54bWxQSwUGAAAAAAYABgBbAQAA&#10;tAMAAAAA&#10;">
                  <v:fill on="t" focussize="0,0"/>
                  <v:stroke on="f"/>
                  <v:imagedata o:title=""/>
                  <o:lock v:ext="edit" aspectratio="f"/>
                  <v:textbox style="mso-fit-shape-to-text:t;">
                    <w:txbxContent>
                      <w:p>
                        <w:pPr>
                          <w:ind w:firstLine="360" w:firstLineChars="200"/>
                          <w:rPr>
                            <w:sz w:val="18"/>
                          </w:rPr>
                        </w:pPr>
                        <w:r>
                          <w:rPr>
                            <w:rFonts w:hint="eastAsia"/>
                            <w:sz w:val="18"/>
                          </w:rPr>
                          <w:t>图4  卖出看跌期权损益状态</w:t>
                        </w:r>
                      </w:p>
                    </w:txbxContent>
                  </v:textbox>
                </v:shape>
                <v:shape id="Text Box 62" o:spid="_x0000_s1026" o:spt="202" type="#_x0000_t202" style="position:absolute;left:3780;top:1560;height:468;width:540;" fillcolor="#FFFFFF" filled="t" stroked="f" coordsize="21600,21600" o:gfxdata="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MBkc7gAAADa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rPr>
                            <w:sz w:val="18"/>
                          </w:rPr>
                        </w:pPr>
                        <w:r>
                          <w:rPr>
                            <w:rFonts w:hint="eastAsia"/>
                            <w:sz w:val="18"/>
                          </w:rPr>
                          <w:t>S</w:t>
                        </w:r>
                      </w:p>
                    </w:txbxContent>
                  </v:textbox>
                </v:shape>
                <v:line id="Line 63" o:spid="_x0000_s1026" o:spt="20" style="position:absolute;left:360;top:1872;flip:y;height:24;width:3420;" filled="f" stroked="t" coordsize="21600,21600" o:gfxdata="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bRkk+2AAAA2gAAAA8A&#10;AAAAAAAAAQAgAAAAIgAAAGRycy9kb3ducmV2LnhtbFBLAQIUABQAAAAIAIdO4kAzLwWeOwAAADkA&#10;AAAQAAAAAAAAAAEAIAAAAAUBAABkcnMvc2hhcGV4bWwueG1sUEsFBgAAAAAGAAYAWwEAAK8DAAAA&#10;AA==&#10;">
                  <v:fill on="f" focussize="0,0"/>
                  <v:stroke color="#545472" joinstyle="round" endarrow="block"/>
                  <v:imagedata o:title=""/>
                  <o:lock v:ext="edit" aspectratio="f"/>
                </v:line>
                <v:line id="Line 64" o:spid="_x0000_s1026" o:spt="20" style="position:absolute;left:360;top:468;flip:y;height:3276;width:0;" filled="f" stroked="t" coordsize="21600,21600" o:gfxdata="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mdN9S5AAAA2gAA&#10;AA8AAAAAAAAAAQAgAAAAIgAAAGRycy9kb3ducmV2LnhtbFBLAQIUABQAAAAIAIdO4kAzLwWeOwAA&#10;ADkAAAAQAAAAAAAAAAEAIAAAAAgBAABkcnMvc2hhcGV4bWwueG1sUEsFBgAAAAAGAAYAWwEAALID&#10;AAAAAA==&#10;">
                  <v:fill on="f" focussize="0,0"/>
                  <v:stroke color="#545472" joinstyle="round" endarrow="block"/>
                  <v:imagedata o:title=""/>
                  <o:lock v:ext="edit" aspectratio="f"/>
                </v:line>
                <v:line id="Line 65" o:spid="_x0000_s1026" o:spt="20" style="position:absolute;left:2340;top:1630;height:468;width:0;" filled="f" stroked="t" coordsize="21600,21600" o:gfxdata="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GIgb4A&#10;AADbAAAADwAAAAAAAAABACAAAAAiAAAAZHJzL2Rvd25yZXYueG1sUEsBAhQAFAAAAAgAh07iQDMv&#10;BZ47AAAAOQAAABAAAAAAAAAAAQAgAAAADQEAAGRycy9zaGFwZXhtbC54bWxQSwUGAAAAAAYABgBb&#10;AQAAtwMAAAAA&#10;">
                  <v:fill on="f" focussize="0,0"/>
                  <v:stroke color="#000000" joinstyle="round" dashstyle="longDash"/>
                  <v:imagedata o:title=""/>
                  <o:lock v:ext="edit" aspectratio="f"/>
                </v:line>
                <v:line id="Line 66" o:spid="_x0000_s1026" o:spt="20" style="position:absolute;left:2340;top:1162;flip:y;height:1;width:1800;" filled="f" stroked="t" coordsize="21600,21600" o:gfxdata="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vzrNmrgAAADbAAAA&#10;DwAAAAAAAAABACAAAAAiAAAAZHJzL2Rvd25yZXYueG1sUEsBAhQAFAAAAAgAh07iQDMvBZ47AAAA&#10;OQAAABAAAAAAAAAAAQAgAAAABwEAAGRycy9zaGFwZXhtbC54bWxQSwUGAAAAAAYABgBbAQAAsQMA&#10;AAAA&#10;">
                  <v:fill on="f" focussize="0,0"/>
                  <v:stroke weight="1.5pt" color="#000000" joinstyle="round"/>
                  <v:imagedata o:title=""/>
                  <o:lock v:ext="edit" aspectratio="f"/>
                </v:line>
                <v:line id="Line 67" o:spid="_x0000_s1026" o:spt="20" style="position:absolute;left:360;top:1162;flip:x;height:1958;width:1980;" filled="f" stroked="t" coordsize="21600,21600" o:gfxdata="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hT7bgAAADbAAAA&#10;DwAAAAAAAAABACAAAAAiAAAAZHJzL2Rvd25yZXYueG1sUEsBAhQAFAAAAAgAh07iQDMvBZ47AAAA&#10;OQAAABAAAAAAAAAAAQAgAAAABwEAAGRycy9zaGFwZXhtbC54bWxQSwUGAAAAAAYABgBbAQAAsQMA&#10;AAAA&#10;">
                  <v:fill on="f" focussize="0,0"/>
                  <v:stroke weight="1.5pt" color="#000000" joinstyle="round"/>
                  <v:imagedata o:title=""/>
                  <o:lock v:ext="edit" aspectratio="f"/>
                </v:line>
                <v:line id="Line 68" o:spid="_x0000_s1026" o:spt="20" style="position:absolute;left:1440;top:624;flip:x y;height:1248;width:180;" filled="f" stroked="t" coordsize="21600,21600" o:gfxdata="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bIjgbsAAADb&#10;AAAADwAAAAAAAAABACAAAAAiAAAAZHJzL2Rvd25yZXYueG1sUEsBAhQAFAAAAAgAh07iQDMvBZ47&#10;AAAAOQAAABAAAAAAAAAAAQAgAAAACgEAAGRycy9zaGFwZXhtbC54bWxQSwUGAAAAAAYABgBbAQAA&#10;tAMAAAAA&#10;">
                  <v:fill on="f" focussize="0,0"/>
                  <v:stroke color="#000000" joinstyle="round" dashstyle="longDash"/>
                  <v:imagedata o:title=""/>
                  <o:lock v:ext="edit" aspectratio="f"/>
                </v:line>
                <v:shape id="Text Box 69" o:spid="_x0000_s1026" o:spt="202" type="#_x0000_t202" style="position:absolute;left:720;top:226;height:390;width:2100;" fillcolor="#FFFFFF" filled="t" stroked="f" coordsize="21600,21600" o:gfxdata="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1prnG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sz w:val="18"/>
                          </w:rPr>
                        </w:pPr>
                        <w:r>
                          <w:rPr>
                            <w:rFonts w:hint="eastAsia"/>
                            <w:sz w:val="18"/>
                          </w:rPr>
                          <w:t>损益平衡点=X-P</w:t>
                        </w:r>
                      </w:p>
                    </w:txbxContent>
                  </v:textbox>
                </v:shape>
                <v:line id="Line 70" o:spid="_x0000_s1026" o:spt="20" style="position:absolute;left:540;top:1162;height:0;width:1620;" filled="f" stroked="t" coordsize="21600,21600" o:gfxdata="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disZugAAANsA&#10;AAAPAAAAAAAAAAEAIAAAACIAAABkcnMvZG93bnJldi54bWxQSwECFAAUAAAACACHTuJAMy8FnjsA&#10;AAA5AAAAEAAAAAAAAAABACAAAAAJAQAAZHJzL3NoYXBleG1sLnhtbFBLBQYAAAAABgAGAFsBAACz&#10;AwAAAAA=&#10;">
                  <v:fill on="f" focussize="0,0"/>
                  <v:stroke color="#000000" joinstyle="round" dashstyle="longDash"/>
                  <v:imagedata o:title=""/>
                  <o:lock v:ext="edit" aspectratio="f"/>
                </v:line>
              </v:group>
            </w:pict>
          </mc:Fallback>
        </mc:AlternateContent>
      </w:r>
    </w:p>
    <w:p>
      <w:pPr>
        <w:spacing w:line="360" w:lineRule="auto"/>
        <w:ind w:firstLine="480" w:firstLineChars="200"/>
        <w:rPr>
          <w:rFonts w:ascii="仿宋" w:hAnsi="仿宋"/>
          <w:bCs/>
          <w:kern w:val="0"/>
        </w:rPr>
      </w:pPr>
    </w:p>
    <w:p>
      <w:pPr>
        <w:spacing w:line="360" w:lineRule="auto"/>
        <w:ind w:firstLine="480" w:firstLineChars="200"/>
        <w:rPr>
          <w:rFonts w:ascii="仿宋" w:hAnsi="仿宋"/>
          <w:bCs/>
          <w:kern w:val="0"/>
        </w:rPr>
      </w:pPr>
    </w:p>
    <w:p>
      <w:pPr>
        <w:spacing w:line="360" w:lineRule="auto"/>
        <w:ind w:firstLine="480" w:firstLineChars="200"/>
        <w:rPr>
          <w:rFonts w:ascii="仿宋" w:hAnsi="仿宋"/>
          <w:bCs/>
          <w:kern w:val="0"/>
        </w:rPr>
      </w:pPr>
    </w:p>
    <w:p>
      <w:pPr>
        <w:spacing w:line="360" w:lineRule="auto"/>
        <w:ind w:firstLine="480" w:firstLineChars="200"/>
        <w:rPr>
          <w:rFonts w:ascii="仿宋" w:hAnsi="仿宋"/>
          <w:bCs/>
          <w:kern w:val="0"/>
        </w:rPr>
      </w:pPr>
    </w:p>
    <w:p>
      <w:pPr>
        <w:spacing w:line="360" w:lineRule="auto"/>
        <w:ind w:firstLine="480" w:firstLineChars="200"/>
        <w:rPr>
          <w:rFonts w:ascii="仿宋" w:hAnsi="仿宋"/>
          <w:bCs/>
          <w:kern w:val="0"/>
        </w:rPr>
      </w:pPr>
    </w:p>
    <w:p>
      <w:pPr>
        <w:spacing w:line="360" w:lineRule="auto"/>
        <w:ind w:firstLine="480" w:firstLineChars="200"/>
        <w:rPr>
          <w:rFonts w:ascii="仿宋" w:hAnsi="仿宋"/>
          <w:bCs/>
          <w:kern w:val="0"/>
        </w:rPr>
      </w:pPr>
    </w:p>
    <w:p>
      <w:pPr>
        <w:spacing w:line="360" w:lineRule="auto"/>
        <w:ind w:firstLine="480" w:firstLineChars="200"/>
        <w:rPr>
          <w:rFonts w:ascii="仿宋" w:hAnsi="仿宋"/>
          <w:bCs/>
          <w:kern w:val="0"/>
        </w:rPr>
      </w:pPr>
    </w:p>
    <w:p>
      <w:pPr>
        <w:spacing w:line="360" w:lineRule="auto"/>
        <w:ind w:firstLine="480" w:firstLineChars="200"/>
        <w:rPr>
          <w:rFonts w:ascii="仿宋" w:hAnsi="仿宋"/>
          <w:bCs/>
          <w:kern w:val="0"/>
        </w:rPr>
      </w:pPr>
    </w:p>
    <w:p>
      <w:pPr>
        <w:spacing w:line="360" w:lineRule="auto"/>
        <w:ind w:firstLine="480" w:firstLineChars="200"/>
        <w:rPr>
          <w:rFonts w:ascii="仿宋" w:hAnsi="仿宋"/>
          <w:bCs/>
          <w:kern w:val="0"/>
        </w:rPr>
      </w:pPr>
      <w:r>
        <w:rPr>
          <w:rFonts w:hint="eastAsia" w:ascii="仿宋" w:hAnsi="仿宋"/>
          <w:bCs/>
          <w:kern w:val="0"/>
        </w:rPr>
        <w:t>如果标的物价格高于执行价格，则买方不会行权，卖方可获得全部权利金收入，或者在期权价格上涨时卖出期权平仓，获得价差收益。但是，一旦标的物价格下跌至执行价格以下，买方执行期权，卖方只能履约，以高于标的物的价格（执行价格）从买方处购入标的物，随着标的物价格的下跌，卖方收益减少，直至出现亏损，下跌越多，亏损越大，但卖方亏损不会达到无限大。</w:t>
      </w:r>
    </w:p>
    <w:p>
      <w:pPr>
        <w:spacing w:line="360" w:lineRule="auto"/>
        <w:ind w:firstLine="480" w:firstLineChars="200"/>
        <w:rPr>
          <w:rFonts w:ascii="仿宋" w:hAnsi="仿宋"/>
        </w:rPr>
      </w:pPr>
      <w:r>
        <w:rPr>
          <w:rFonts w:hint="eastAsia" w:ascii="仿宋" w:hAnsi="仿宋"/>
        </w:rPr>
        <w:t>看跌期权空头最大收益为权利金，标的物市场价格处于横盘整理或上涨，对看跌期权的卖方有利。如果现期标的物价格空幅整理或上涨，可通过卖出看跌期权获利。</w:t>
      </w:r>
    </w:p>
    <w:p>
      <w:pPr>
        <w:spacing w:line="360" w:lineRule="auto"/>
        <w:rPr>
          <w:rFonts w:ascii="仿宋" w:hAnsi="仿宋"/>
          <w:bCs/>
          <w:kern w:val="0"/>
        </w:rPr>
      </w:pPr>
    </w:p>
    <w:p>
      <w:pPr>
        <w:pStyle w:val="3"/>
        <w:rPr>
          <w:sz w:val="24"/>
          <w:szCs w:val="24"/>
        </w:rPr>
      </w:pPr>
      <w:bookmarkStart w:id="110" w:name="_Toc3896717"/>
      <w:bookmarkStart w:id="111" w:name="_Toc445043892"/>
      <w:r>
        <w:rPr>
          <w:rFonts w:hint="eastAsia"/>
          <w:sz w:val="24"/>
          <w:szCs w:val="24"/>
        </w:rPr>
        <w:t>十一、期货市场监管和风险控制</w:t>
      </w:r>
      <w:bookmarkEnd w:id="110"/>
      <w:bookmarkEnd w:id="111"/>
    </w:p>
    <w:p>
      <w:pPr>
        <w:pStyle w:val="4"/>
        <w:spacing w:before="0" w:after="0" w:line="360" w:lineRule="auto"/>
        <w:rPr>
          <w:rFonts w:ascii="仿宋" w:hAnsi="仿宋"/>
          <w:szCs w:val="24"/>
        </w:rPr>
      </w:pPr>
      <w:bookmarkStart w:id="112" w:name="_Toc3896718"/>
      <w:bookmarkStart w:id="113" w:name="_Toc445043893"/>
      <w:r>
        <w:rPr>
          <w:rFonts w:hint="eastAsia" w:ascii="仿宋" w:hAnsi="仿宋"/>
          <w:szCs w:val="24"/>
        </w:rPr>
        <w:t>（一）期货市场风险的类型和风险成因</w:t>
      </w:r>
      <w:bookmarkEnd w:id="112"/>
      <w:bookmarkEnd w:id="113"/>
    </w:p>
    <w:p>
      <w:pPr>
        <w:spacing w:line="360" w:lineRule="auto"/>
        <w:ind w:firstLine="480" w:firstLineChars="200"/>
        <w:rPr>
          <w:rFonts w:ascii="仿宋" w:hAnsi="仿宋"/>
          <w:bCs/>
          <w:kern w:val="0"/>
        </w:rPr>
      </w:pPr>
      <w:r>
        <w:rPr>
          <w:rFonts w:hint="eastAsia" w:ascii="仿宋" w:hAnsi="仿宋"/>
          <w:bCs/>
          <w:kern w:val="0"/>
        </w:rPr>
        <w:t>期货市场风险的类型从不同角度划分可以分为不同类型，掌握从风险来源划分的风险类型和各类风险的特点。</w:t>
      </w:r>
    </w:p>
    <w:p>
      <w:pPr>
        <w:spacing w:line="360" w:lineRule="auto"/>
        <w:ind w:firstLine="480" w:firstLineChars="200"/>
        <w:rPr>
          <w:rFonts w:ascii="仿宋" w:hAnsi="仿宋"/>
          <w:bCs/>
          <w:kern w:val="0"/>
        </w:rPr>
      </w:pPr>
      <w:r>
        <w:rPr>
          <w:rFonts w:hint="eastAsia" w:ascii="仿宋" w:hAnsi="仿宋"/>
          <w:bCs/>
          <w:kern w:val="0"/>
        </w:rPr>
        <w:t>从风险来源划分，可分为市场风险、信用风险、流动性风险、操作风险与法律风险。</w:t>
      </w:r>
    </w:p>
    <w:p>
      <w:pPr>
        <w:spacing w:line="360" w:lineRule="auto"/>
        <w:ind w:firstLine="480" w:firstLineChars="200"/>
        <w:rPr>
          <w:rFonts w:ascii="仿宋" w:hAnsi="仿宋"/>
          <w:bCs/>
          <w:kern w:val="0"/>
        </w:rPr>
      </w:pPr>
      <w:r>
        <w:rPr>
          <w:rFonts w:ascii="仿宋" w:hAnsi="仿宋"/>
          <w:bCs/>
          <w:kern w:val="0"/>
        </w:rPr>
        <w:t>1</w:t>
      </w:r>
      <w:r>
        <w:rPr>
          <w:rFonts w:hint="eastAsia" w:ascii="仿宋" w:hAnsi="仿宋"/>
          <w:bCs/>
          <w:kern w:val="0"/>
        </w:rPr>
        <w:t>、</w:t>
      </w:r>
      <w:r>
        <w:rPr>
          <w:rFonts w:ascii="仿宋" w:hAnsi="仿宋"/>
          <w:bCs/>
          <w:kern w:val="0"/>
        </w:rPr>
        <w:t>市场风险</w:t>
      </w:r>
    </w:p>
    <w:p>
      <w:pPr>
        <w:spacing w:line="360" w:lineRule="auto"/>
        <w:ind w:firstLine="480" w:firstLineChars="200"/>
        <w:rPr>
          <w:rFonts w:ascii="仿宋" w:hAnsi="仿宋"/>
          <w:bCs/>
          <w:kern w:val="0"/>
        </w:rPr>
      </w:pPr>
      <w:r>
        <w:rPr>
          <w:rFonts w:hint="eastAsia" w:ascii="仿宋" w:hAnsi="仿宋"/>
          <w:bCs/>
          <w:kern w:val="0"/>
        </w:rPr>
        <w:t>市场风险是因价格变化使持有的期货合约的价值发生变化的风险，是期货交易中最常见、最需要重视的一种风险。导致期货交易的市场风险因素一般可分为自然环境因素、社会环境因素、政治法律因素、技术因素、心理因素等。期货市场市场风险又可分为利率风险、汇率风险、权益风险、商品风险等。</w:t>
      </w:r>
    </w:p>
    <w:p>
      <w:pPr>
        <w:spacing w:line="360" w:lineRule="auto"/>
        <w:ind w:firstLine="480" w:firstLineChars="200"/>
        <w:rPr>
          <w:rFonts w:ascii="仿宋" w:hAnsi="仿宋"/>
          <w:bCs/>
          <w:kern w:val="0"/>
        </w:rPr>
      </w:pPr>
      <w:r>
        <w:rPr>
          <w:rFonts w:ascii="仿宋" w:hAnsi="仿宋"/>
          <w:bCs/>
          <w:kern w:val="0"/>
        </w:rPr>
        <w:t>2</w:t>
      </w:r>
      <w:r>
        <w:rPr>
          <w:rFonts w:hint="eastAsia" w:ascii="仿宋" w:hAnsi="仿宋"/>
          <w:bCs/>
          <w:kern w:val="0"/>
        </w:rPr>
        <w:t>、</w:t>
      </w:r>
      <w:r>
        <w:rPr>
          <w:rFonts w:ascii="仿宋" w:hAnsi="仿宋"/>
          <w:bCs/>
          <w:kern w:val="0"/>
        </w:rPr>
        <w:t>信用风险</w:t>
      </w:r>
    </w:p>
    <w:p>
      <w:pPr>
        <w:spacing w:line="360" w:lineRule="auto"/>
        <w:ind w:firstLine="480" w:firstLineChars="200"/>
        <w:rPr>
          <w:rFonts w:ascii="仿宋" w:hAnsi="仿宋"/>
          <w:bCs/>
          <w:kern w:val="0"/>
        </w:rPr>
      </w:pPr>
      <w:r>
        <w:rPr>
          <w:rFonts w:hint="eastAsia" w:ascii="仿宋" w:hAnsi="仿宋"/>
          <w:bCs/>
          <w:kern w:val="0"/>
        </w:rPr>
        <w:t>信用风险是指由于交易对手不履行履约责任而导致的风险。期货交易由交易所担保履约责任而几乎没有信用风险。现代期货交易的风险分担机制使信用风险的概率很小，但在重大风险事件发生时，或风险监控制度不完善时也会发生信用风险。</w:t>
      </w:r>
    </w:p>
    <w:p>
      <w:pPr>
        <w:spacing w:line="360" w:lineRule="auto"/>
        <w:ind w:firstLine="480" w:firstLineChars="200"/>
        <w:rPr>
          <w:rFonts w:ascii="仿宋" w:hAnsi="仿宋"/>
          <w:bCs/>
          <w:kern w:val="0"/>
        </w:rPr>
      </w:pPr>
      <w:r>
        <w:rPr>
          <w:rFonts w:ascii="仿宋" w:hAnsi="仿宋"/>
          <w:bCs/>
          <w:kern w:val="0"/>
        </w:rPr>
        <w:t xml:space="preserve"> 3</w:t>
      </w:r>
      <w:r>
        <w:rPr>
          <w:rFonts w:hint="eastAsia" w:ascii="仿宋" w:hAnsi="仿宋"/>
          <w:bCs/>
          <w:kern w:val="0"/>
        </w:rPr>
        <w:t>、</w:t>
      </w:r>
      <w:r>
        <w:rPr>
          <w:rFonts w:ascii="仿宋" w:hAnsi="仿宋"/>
          <w:bCs/>
          <w:kern w:val="0"/>
        </w:rPr>
        <w:t>流动性风险</w:t>
      </w:r>
    </w:p>
    <w:p>
      <w:pPr>
        <w:spacing w:line="360" w:lineRule="auto"/>
        <w:ind w:firstLine="480" w:firstLineChars="200"/>
        <w:rPr>
          <w:rFonts w:ascii="仿宋" w:hAnsi="仿宋"/>
          <w:bCs/>
          <w:kern w:val="0"/>
        </w:rPr>
      </w:pPr>
      <w:r>
        <w:rPr>
          <w:rFonts w:hint="eastAsia" w:ascii="仿宋" w:hAnsi="仿宋"/>
          <w:bCs/>
          <w:kern w:val="0"/>
        </w:rPr>
        <w:t>流动性风险可分为两种：一种可称作流通量风险，另一种可称作资金量风险。流通量风险是指期货合约无法及时以合理价格建立或了结头寸的风险，这种风险在市况急剧走向某个极端时，或者因进行了某种特殊交易想处理资产但不能如愿以偿时容易产生。通常用市场的广度和深度来衡量期货市场的流动性。广度是指在既定价格水平下满足投资者交易需求的能力，如果买卖双方均能在既定价格水平下获得所需的交易量，那么市场就是有广度的；而如果买卖双方在既定价格水平下均要受到成交量的限制，那么市场就是窄的。深度是指市场对大额交易需求的承接能力，如果追加数量很小的需求可以使价格大幅度上涨，那么，市场就缺乏深度；如果数量很大的追加需求对价格没有大的影响，那么市场就是有深度的。较高流动性的市场，稳定性也比较高，市场价格更加合理。资金量风险是指当投资者的资金无法满足保证金要求时，其持有的头寸面临强制平仓的风险。</w:t>
      </w:r>
    </w:p>
    <w:p>
      <w:pPr>
        <w:spacing w:line="360" w:lineRule="auto"/>
        <w:ind w:firstLine="480" w:firstLineChars="200"/>
        <w:rPr>
          <w:rFonts w:ascii="仿宋" w:hAnsi="仿宋"/>
          <w:bCs/>
          <w:kern w:val="0"/>
        </w:rPr>
      </w:pPr>
      <w:r>
        <w:rPr>
          <w:rFonts w:ascii="仿宋" w:hAnsi="仿宋"/>
          <w:bCs/>
          <w:kern w:val="0"/>
        </w:rPr>
        <w:t>4</w:t>
      </w:r>
      <w:r>
        <w:rPr>
          <w:rFonts w:hint="eastAsia" w:ascii="仿宋" w:hAnsi="仿宋"/>
          <w:bCs/>
          <w:kern w:val="0"/>
        </w:rPr>
        <w:t>、</w:t>
      </w:r>
      <w:r>
        <w:rPr>
          <w:rFonts w:ascii="仿宋" w:hAnsi="仿宋"/>
          <w:bCs/>
          <w:kern w:val="0"/>
        </w:rPr>
        <w:t>操作风险</w:t>
      </w:r>
    </w:p>
    <w:p>
      <w:pPr>
        <w:spacing w:line="360" w:lineRule="auto"/>
        <w:ind w:firstLine="480" w:firstLineChars="200"/>
        <w:rPr>
          <w:rFonts w:ascii="仿宋" w:hAnsi="仿宋"/>
          <w:bCs/>
          <w:kern w:val="0"/>
        </w:rPr>
      </w:pPr>
      <w:r>
        <w:rPr>
          <w:rFonts w:hint="eastAsia" w:ascii="仿宋" w:hAnsi="仿宋"/>
          <w:bCs/>
          <w:kern w:val="0"/>
        </w:rPr>
        <w:t>操作风险是指因信息系统或内部控制方面的缺陷而导致意外损失的可能性。操作风险包括以下几方面，因负责风险管理的计算机系统出现差错，导致不能正确地把握市场风险，或因计算机的操作错误而破坏数据的风险；储存交易数据的计算机因灾害或操作错误而引起损失的风险；因工作责任不明确或工作程序不恰当，不能进行准确结算或发生作弊行为的风险；交易操作人员指令处理错误所造成的风险，不完善的内部制度与处理步骤等。</w:t>
      </w:r>
      <w:r>
        <w:rPr>
          <w:rFonts w:ascii="仿宋" w:hAnsi="仿宋"/>
          <w:bCs/>
          <w:kern w:val="0"/>
        </w:rPr>
        <w:cr/>
      </w:r>
      <w:r>
        <w:rPr>
          <w:rFonts w:ascii="仿宋" w:hAnsi="仿宋"/>
          <w:bCs/>
          <w:kern w:val="0"/>
        </w:rPr>
        <w:t xml:space="preserve"> </w:t>
      </w:r>
      <w:r>
        <w:rPr>
          <w:rFonts w:ascii="仿宋" w:hAnsi="仿宋"/>
          <w:bCs/>
          <w:kern w:val="0"/>
        </w:rPr>
        <w:tab/>
      </w:r>
      <w:r>
        <w:rPr>
          <w:rFonts w:ascii="仿宋" w:hAnsi="仿宋"/>
          <w:bCs/>
          <w:kern w:val="0"/>
        </w:rPr>
        <w:t>5</w:t>
      </w:r>
      <w:r>
        <w:rPr>
          <w:rFonts w:hint="eastAsia" w:ascii="仿宋" w:hAnsi="仿宋"/>
          <w:bCs/>
          <w:kern w:val="0"/>
        </w:rPr>
        <w:t>、</w:t>
      </w:r>
      <w:r>
        <w:rPr>
          <w:rFonts w:ascii="仿宋" w:hAnsi="仿宋"/>
          <w:bCs/>
          <w:kern w:val="0"/>
        </w:rPr>
        <w:t>法律风险</w:t>
      </w:r>
    </w:p>
    <w:p>
      <w:pPr>
        <w:spacing w:line="360" w:lineRule="auto"/>
        <w:ind w:firstLine="480" w:firstLineChars="200"/>
        <w:rPr>
          <w:rFonts w:ascii="仿宋" w:hAnsi="仿宋"/>
          <w:bCs/>
          <w:kern w:val="0"/>
        </w:rPr>
      </w:pPr>
      <w:r>
        <w:rPr>
          <w:rFonts w:hint="eastAsia" w:ascii="仿宋" w:hAnsi="仿宋"/>
          <w:bCs/>
          <w:kern w:val="0"/>
        </w:rPr>
        <w:t>法律风险是指在期货交易中，由于相关行为</w:t>
      </w:r>
      <w:r>
        <w:rPr>
          <w:rFonts w:ascii="仿宋" w:hAnsi="仿宋"/>
          <w:bCs/>
          <w:kern w:val="0"/>
        </w:rPr>
        <w:t>(如签订的合同、交易的对象、</w:t>
      </w:r>
      <w:r>
        <w:rPr>
          <w:rFonts w:hint="eastAsia" w:ascii="仿宋" w:hAnsi="仿宋"/>
          <w:bCs/>
          <w:kern w:val="0"/>
        </w:rPr>
        <w:t>税收的处理等</w:t>
      </w:r>
      <w:r>
        <w:rPr>
          <w:rFonts w:ascii="仿宋" w:hAnsi="仿宋"/>
          <w:bCs/>
          <w:kern w:val="0"/>
        </w:rPr>
        <w:t>)与相应的法规发生冲突致使无法获得当初所期待的经济效果甚至蒙受损失的风险。如有的机构不具有期货代理资格，投资者与其签订经纪代理合同就不受法律保护，投资者如果通过这些机构进行期货交易就有法律风险。</w:t>
      </w:r>
    </w:p>
    <w:p>
      <w:pPr>
        <w:spacing w:line="360" w:lineRule="auto"/>
        <w:ind w:firstLine="480" w:firstLineChars="200"/>
        <w:rPr>
          <w:rFonts w:ascii="仿宋" w:hAnsi="仿宋"/>
          <w:bCs/>
          <w:kern w:val="0"/>
        </w:rPr>
      </w:pPr>
      <w:r>
        <w:rPr>
          <w:rFonts w:hint="eastAsia" w:ascii="仿宋" w:hAnsi="仿宋"/>
          <w:bCs/>
          <w:kern w:val="0"/>
        </w:rPr>
        <w:t>价格波动、保证金交易的杠杆效应、交易者的非理性投机和市场机制的不健全等因素是期货市场风险的主要成因。</w:t>
      </w:r>
    </w:p>
    <w:p>
      <w:pPr>
        <w:spacing w:line="360" w:lineRule="auto"/>
        <w:ind w:firstLine="480" w:firstLineChars="200"/>
        <w:rPr>
          <w:rFonts w:ascii="仿宋" w:hAnsi="仿宋"/>
          <w:bCs/>
          <w:kern w:val="0"/>
        </w:rPr>
      </w:pPr>
    </w:p>
    <w:p>
      <w:pPr>
        <w:pStyle w:val="4"/>
        <w:spacing w:before="0" w:after="0" w:line="360" w:lineRule="auto"/>
        <w:rPr>
          <w:rFonts w:ascii="仿宋" w:hAnsi="仿宋"/>
          <w:szCs w:val="24"/>
        </w:rPr>
      </w:pPr>
      <w:bookmarkStart w:id="114" w:name="_Toc3896719"/>
      <w:bookmarkStart w:id="115" w:name="_Toc445043894"/>
      <w:r>
        <w:rPr>
          <w:rFonts w:hint="eastAsia" w:ascii="仿宋" w:hAnsi="仿宋"/>
          <w:szCs w:val="24"/>
        </w:rPr>
        <w:t>（二）期货市场风险度量和风险管理</w:t>
      </w:r>
      <w:bookmarkEnd w:id="114"/>
      <w:bookmarkEnd w:id="115"/>
    </w:p>
    <w:p>
      <w:pPr>
        <w:spacing w:line="360" w:lineRule="auto"/>
        <w:ind w:firstLine="480" w:firstLineChars="200"/>
        <w:rPr>
          <w:rFonts w:ascii="仿宋" w:hAnsi="仿宋"/>
          <w:bCs/>
          <w:kern w:val="0"/>
        </w:rPr>
      </w:pPr>
      <w:r>
        <w:rPr>
          <w:rFonts w:ascii="仿宋" w:hAnsi="仿宋"/>
          <w:bCs/>
          <w:kern w:val="0"/>
        </w:rPr>
        <w:t>1</w:t>
      </w:r>
      <w:r>
        <w:rPr>
          <w:rFonts w:hint="eastAsia" w:ascii="仿宋" w:hAnsi="仿宋"/>
          <w:bCs/>
          <w:kern w:val="0"/>
        </w:rPr>
        <w:t>、</w:t>
      </w:r>
      <w:r>
        <w:rPr>
          <w:rFonts w:ascii="仿宋" w:hAnsi="仿宋"/>
          <w:bCs/>
          <w:kern w:val="0"/>
        </w:rPr>
        <w:t>期货市场风险度量</w:t>
      </w:r>
    </w:p>
    <w:p>
      <w:pPr>
        <w:spacing w:line="360" w:lineRule="auto"/>
        <w:ind w:firstLine="480" w:firstLineChars="200"/>
        <w:rPr>
          <w:rFonts w:ascii="仿宋" w:hAnsi="仿宋"/>
          <w:bCs/>
          <w:kern w:val="0"/>
        </w:rPr>
      </w:pPr>
      <w:r>
        <w:rPr>
          <w:rFonts w:hint="eastAsia" w:ascii="仿宋" w:hAnsi="仿宋"/>
          <w:bCs/>
          <w:kern w:val="0"/>
        </w:rPr>
        <w:t>风险度量主要掌握度量市场风险的主要方法——风险价值法（</w:t>
      </w:r>
      <w:r>
        <w:rPr>
          <w:rFonts w:ascii="仿宋" w:hAnsi="仿宋"/>
          <w:bCs/>
          <w:kern w:val="0"/>
        </w:rPr>
        <w:t>VAR——Value at Risk）的含义。</w:t>
      </w:r>
    </w:p>
    <w:p>
      <w:pPr>
        <w:spacing w:line="360" w:lineRule="auto"/>
        <w:ind w:firstLine="480" w:firstLineChars="200"/>
        <w:rPr>
          <w:rFonts w:ascii="仿宋" w:hAnsi="仿宋"/>
          <w:bCs/>
          <w:kern w:val="0"/>
        </w:rPr>
      </w:pPr>
      <w:r>
        <w:rPr>
          <w:rFonts w:ascii="仿宋" w:hAnsi="仿宋"/>
          <w:bCs/>
          <w:kern w:val="0"/>
        </w:rPr>
        <w:t>VaR的含义是处于风险中的价值，是指市场正常波动下，某一金融资产或证券组合的最大可能损失。更为确切的是指，在一定的置信水平下，某一金融资产或证券组合在未来特定的一段时间内的最大可能损失。用数学公式可表示为：</w:t>
      </w:r>
    </w:p>
    <w:p>
      <w:pPr>
        <w:spacing w:line="360" w:lineRule="auto"/>
        <w:ind w:firstLine="480" w:firstLineChars="200"/>
        <w:rPr>
          <w:rFonts w:ascii="仿宋" w:hAnsi="仿宋"/>
          <w:bCs/>
          <w:kern w:val="0"/>
        </w:rPr>
      </w:pPr>
      <w:r>
        <w:rPr>
          <w:rFonts w:ascii="仿宋" w:hAnsi="仿宋"/>
          <w:bCs/>
          <w:kern w:val="0"/>
        </w:rPr>
        <w:t>Prob(△P&gt;VaR)=1</w:t>
      </w:r>
      <w:r>
        <w:rPr>
          <w:rFonts w:hint="eastAsia" w:ascii="仿宋" w:hAnsi="仿宋"/>
          <w:bCs/>
          <w:kern w:val="0"/>
        </w:rPr>
        <w:t>一</w:t>
      </w:r>
      <w:r>
        <w:rPr>
          <w:rFonts w:ascii="仿宋" w:hAnsi="仿宋"/>
          <w:bCs/>
          <w:kern w:val="0"/>
        </w:rPr>
        <w:t>c</w:t>
      </w:r>
    </w:p>
    <w:p>
      <w:pPr>
        <w:spacing w:line="360" w:lineRule="auto"/>
        <w:ind w:firstLine="480" w:firstLineChars="200"/>
        <w:rPr>
          <w:rFonts w:ascii="仿宋" w:hAnsi="仿宋"/>
          <w:bCs/>
          <w:kern w:val="0"/>
        </w:rPr>
      </w:pPr>
      <w:r>
        <w:rPr>
          <w:rFonts w:hint="eastAsia" w:ascii="仿宋" w:hAnsi="仿宋"/>
          <w:bCs/>
          <w:kern w:val="0"/>
        </w:rPr>
        <w:t>其中，△</w:t>
      </w:r>
      <w:r>
        <w:rPr>
          <w:rFonts w:ascii="仿宋" w:hAnsi="仿宋"/>
          <w:bCs/>
          <w:kern w:val="0"/>
        </w:rPr>
        <w:t>P为证券组合在持有期内的损失；VaR为置信水平c下处于风险中的价值。其中VaR及损失均取正数。</w:t>
      </w:r>
    </w:p>
    <w:p>
      <w:pPr>
        <w:spacing w:line="360" w:lineRule="auto"/>
        <w:ind w:firstLine="480" w:firstLineChars="200"/>
        <w:rPr>
          <w:rFonts w:ascii="仿宋" w:hAnsi="仿宋"/>
          <w:bCs/>
          <w:kern w:val="0"/>
        </w:rPr>
      </w:pPr>
      <w:r>
        <w:rPr>
          <w:rFonts w:hint="eastAsia" w:ascii="仿宋" w:hAnsi="仿宋"/>
          <w:bCs/>
          <w:kern w:val="0"/>
        </w:rPr>
        <w:t>例如，某一投资公司持有的证券组合在置信度为</w:t>
      </w:r>
      <w:r>
        <w:rPr>
          <w:rFonts w:ascii="仿宋" w:hAnsi="仿宋"/>
          <w:bCs/>
          <w:kern w:val="0"/>
        </w:rPr>
        <w:t>95%证券市场正常波动情况下的日VaR值为500万元。其含义是指，该公司的证券组合在一天内由于市场价格变化而带来的最大损失超过500万元的概率为5％，平均20个交易日才可能出现一次这种情况。或者说有95％的把握保证该投资公司在下一个交易日内的损失在500万元以内。5％的几率反映了金融资产管理者的风险厌恶程度，可根据不同的投资者对风险的偏好程度和承受能力来确定。</w:t>
      </w:r>
    </w:p>
    <w:p>
      <w:pPr>
        <w:spacing w:line="360" w:lineRule="auto"/>
        <w:ind w:firstLine="480" w:firstLineChars="200"/>
        <w:rPr>
          <w:rFonts w:ascii="仿宋" w:hAnsi="仿宋"/>
          <w:bCs/>
          <w:kern w:val="0"/>
        </w:rPr>
      </w:pPr>
      <w:r>
        <w:rPr>
          <w:rFonts w:ascii="仿宋" w:hAnsi="仿宋"/>
          <w:bCs/>
          <w:kern w:val="0"/>
        </w:rPr>
        <w:t>2</w:t>
      </w:r>
      <w:r>
        <w:rPr>
          <w:rFonts w:hint="eastAsia" w:ascii="仿宋" w:hAnsi="仿宋"/>
          <w:bCs/>
          <w:kern w:val="0"/>
        </w:rPr>
        <w:t>、</w:t>
      </w:r>
      <w:r>
        <w:rPr>
          <w:rFonts w:ascii="仿宋" w:hAnsi="仿宋"/>
          <w:bCs/>
          <w:kern w:val="0"/>
        </w:rPr>
        <w:t>风险管理</w:t>
      </w:r>
    </w:p>
    <w:p>
      <w:pPr>
        <w:spacing w:line="360" w:lineRule="auto"/>
        <w:ind w:firstLine="480" w:firstLineChars="200"/>
        <w:rPr>
          <w:rFonts w:ascii="仿宋" w:hAnsi="仿宋"/>
          <w:bCs/>
          <w:kern w:val="0"/>
        </w:rPr>
      </w:pPr>
      <w:r>
        <w:rPr>
          <w:rFonts w:hint="eastAsia" w:ascii="仿宋" w:hAnsi="仿宋"/>
          <w:bCs/>
          <w:kern w:val="0"/>
        </w:rPr>
        <w:t>风险管理主要包括对期货交易者、期货公司和交易所的风险管理。</w:t>
      </w:r>
    </w:p>
    <w:p>
      <w:pPr>
        <w:spacing w:line="360" w:lineRule="auto"/>
        <w:ind w:firstLine="480" w:firstLineChars="200"/>
        <w:rPr>
          <w:rFonts w:ascii="仿宋" w:hAnsi="仿宋"/>
          <w:bCs/>
          <w:kern w:val="0"/>
        </w:rPr>
      </w:pPr>
      <w:r>
        <w:rPr>
          <w:rFonts w:hint="eastAsia" w:ascii="仿宋" w:hAnsi="仿宋"/>
          <w:bCs/>
          <w:kern w:val="0"/>
        </w:rPr>
        <w:t>对期货交易者的风险管理主要包括对参与金融期货交易的投资者的适当性要求和套期保值者的风险成因和风险特点。</w:t>
      </w:r>
    </w:p>
    <w:p>
      <w:pPr>
        <w:spacing w:line="360" w:lineRule="auto"/>
        <w:ind w:firstLine="480" w:firstLineChars="200"/>
        <w:rPr>
          <w:rFonts w:ascii="仿宋" w:hAnsi="仿宋"/>
          <w:bCs/>
          <w:kern w:val="0"/>
        </w:rPr>
      </w:pPr>
      <w:r>
        <w:rPr>
          <w:rFonts w:hint="eastAsia" w:ascii="仿宋" w:hAnsi="仿宋"/>
          <w:bCs/>
          <w:kern w:val="0"/>
        </w:rPr>
        <w:t>（</w:t>
      </w:r>
      <w:r>
        <w:rPr>
          <w:rFonts w:ascii="仿宋" w:hAnsi="仿宋"/>
          <w:bCs/>
          <w:kern w:val="0"/>
        </w:rPr>
        <w:t>1）实行金融期货投资者适当性制度的目的及主要条款</w:t>
      </w:r>
    </w:p>
    <w:p>
      <w:pPr>
        <w:spacing w:line="360" w:lineRule="auto"/>
        <w:ind w:firstLine="480" w:firstLineChars="200"/>
        <w:rPr>
          <w:rFonts w:ascii="仿宋" w:hAnsi="仿宋"/>
          <w:bCs/>
          <w:kern w:val="0"/>
        </w:rPr>
      </w:pPr>
      <w:r>
        <w:rPr>
          <w:rFonts w:hint="eastAsia" w:ascii="仿宋" w:hAnsi="仿宋"/>
          <w:bCs/>
          <w:kern w:val="0"/>
        </w:rPr>
        <w:t>目的：保障金融期货市场平稳、规范、健康运行，防范风险，保护投资者的合法权益。</w:t>
      </w:r>
    </w:p>
    <w:p>
      <w:pPr>
        <w:spacing w:line="360" w:lineRule="auto"/>
        <w:ind w:firstLine="480" w:firstLineChars="200"/>
        <w:rPr>
          <w:rFonts w:ascii="仿宋" w:hAnsi="仿宋"/>
          <w:bCs/>
          <w:kern w:val="0"/>
        </w:rPr>
      </w:pPr>
      <w:r>
        <w:rPr>
          <w:rFonts w:hint="eastAsia" w:ascii="仿宋" w:hAnsi="仿宋"/>
          <w:bCs/>
          <w:kern w:val="0"/>
        </w:rPr>
        <w:t>主要条款：自然人申请开户时保证金账户可用资金余额不低于人民币</w:t>
      </w:r>
      <w:r>
        <w:rPr>
          <w:rFonts w:ascii="仿宋" w:hAnsi="仿宋"/>
          <w:bCs/>
          <w:kern w:val="0"/>
        </w:rPr>
        <w:t>50万元；具有累计10个交易日、20笔以上（含）的金融期货仿真交易成交记录，或者最近三年内具有10笔以上（含）的期货交易成交记录。一般单位客户申请开户时保证金账户可用资金余额不低于人民币50万元；具有累计10个交易日、20笔以上（含）的金融期货仿真交易成交记录，或者最近三年内具有10笔以上（含）的期货交易成交记录。</w:t>
      </w:r>
    </w:p>
    <w:p>
      <w:pPr>
        <w:spacing w:line="360" w:lineRule="auto"/>
        <w:ind w:firstLine="480" w:firstLineChars="200"/>
        <w:rPr>
          <w:rFonts w:ascii="仿宋" w:hAnsi="仿宋"/>
          <w:bCs/>
          <w:kern w:val="0"/>
        </w:rPr>
      </w:pPr>
      <w:r>
        <w:rPr>
          <w:rFonts w:hint="eastAsia" w:ascii="仿宋" w:hAnsi="仿宋"/>
          <w:bCs/>
          <w:kern w:val="0"/>
        </w:rPr>
        <w:t>（</w:t>
      </w:r>
      <w:r>
        <w:rPr>
          <w:rFonts w:ascii="仿宋" w:hAnsi="仿宋"/>
          <w:bCs/>
          <w:kern w:val="0"/>
        </w:rPr>
        <w:t>2）套期保值者的风险成因和特点：</w:t>
      </w:r>
    </w:p>
    <w:p>
      <w:pPr>
        <w:autoSpaceDE w:val="0"/>
        <w:autoSpaceDN w:val="0"/>
        <w:adjustRightInd w:val="0"/>
        <w:spacing w:line="360" w:lineRule="auto"/>
        <w:ind w:firstLine="480" w:firstLineChars="200"/>
        <w:jc w:val="left"/>
        <w:rPr>
          <w:rFonts w:ascii="仿宋" w:hAnsi="仿宋"/>
        </w:rPr>
      </w:pPr>
      <w:r>
        <w:rPr>
          <w:rFonts w:hint="eastAsia" w:ascii="仿宋" w:hAnsi="仿宋"/>
          <w:bCs/>
          <w:kern w:val="0"/>
        </w:rPr>
        <w:t>套期保值者在参与套期保值时，存在着导致套期保值失败的风险或效果极差的风险，除了基差风险属于不可控风险外，其余的如头寸、资金、交割、不熟悉交易规则等原因都可归类于可控风险，如果强化风险管理，可以避免。</w:t>
      </w:r>
    </w:p>
    <w:p>
      <w:pPr>
        <w:spacing w:line="360" w:lineRule="auto"/>
        <w:ind w:firstLine="480" w:firstLineChars="200"/>
        <w:rPr>
          <w:rFonts w:ascii="仿宋" w:hAnsi="仿宋"/>
          <w:bCs/>
          <w:kern w:val="0"/>
        </w:rPr>
      </w:pPr>
      <w:r>
        <w:rPr>
          <w:rFonts w:hint="eastAsia" w:ascii="仿宋" w:hAnsi="仿宋"/>
          <w:bCs/>
          <w:kern w:val="0"/>
        </w:rPr>
        <w:t>期货公司和交易所的主要风险是管理风险。管理风险表现在两方面，一是会员或客户保证金不足而爆仓，即当期货价格波动导致交易者的风险溢出之后（比如爆仓）会构成期货公司的风险，当期货公司的风险溢出之后会构成期货交易所的风险；而是由于期货公司或交易所由于自身管理不严导致对正常交易秩序的破坏，以致自身成为引发期货行业的风险因素。比如，期货公司或期货交易所的机房出现严重问题，大面积影响客户交易等。</w:t>
      </w:r>
    </w:p>
    <w:p>
      <w:pPr>
        <w:spacing w:line="360" w:lineRule="auto"/>
        <w:ind w:firstLine="480" w:firstLineChars="200"/>
        <w:rPr>
          <w:rFonts w:ascii="仿宋" w:hAnsi="仿宋"/>
          <w:bCs/>
          <w:kern w:val="0"/>
        </w:rPr>
      </w:pPr>
    </w:p>
    <w:p>
      <w:pPr>
        <w:spacing w:line="360" w:lineRule="auto"/>
        <w:ind w:firstLine="480" w:firstLineChars="200"/>
        <w:rPr>
          <w:rFonts w:ascii="仿宋" w:hAnsi="仿宋"/>
          <w:bCs/>
          <w:kern w:val="0"/>
        </w:rPr>
      </w:pPr>
    </w:p>
    <w:p>
      <w:pPr>
        <w:widowControl/>
        <w:spacing w:line="360" w:lineRule="auto"/>
        <w:ind w:firstLine="480" w:firstLineChars="200"/>
        <w:jc w:val="left"/>
        <w:rPr>
          <w:rFonts w:ascii="仿宋" w:hAnsi="仿宋"/>
        </w:rPr>
      </w:pPr>
      <w:r>
        <w:rPr>
          <w:rFonts w:ascii="仿宋" w:hAnsi="仿宋"/>
        </w:rPr>
        <w:br w:type="page"/>
      </w:r>
    </w:p>
    <w:p>
      <w:pPr>
        <w:pStyle w:val="2"/>
      </w:pPr>
      <w:bookmarkStart w:id="116" w:name="_Toc445043896"/>
      <w:bookmarkStart w:id="117" w:name="_Toc3896720"/>
      <w:bookmarkStart w:id="118" w:name="_Toc404963360"/>
      <w:r>
        <w:rPr>
          <w:rFonts w:hint="eastAsia"/>
        </w:rPr>
        <w:t>第二部分  法律法规</w:t>
      </w:r>
      <w:bookmarkEnd w:id="116"/>
      <w:bookmarkEnd w:id="117"/>
      <w:bookmarkEnd w:id="118"/>
    </w:p>
    <w:p>
      <w:pPr>
        <w:pStyle w:val="3"/>
        <w:rPr>
          <w:sz w:val="24"/>
          <w:szCs w:val="24"/>
        </w:rPr>
      </w:pPr>
      <w:bookmarkStart w:id="119" w:name="_Toc404963361"/>
      <w:bookmarkStart w:id="120" w:name="_Toc445043897"/>
      <w:bookmarkStart w:id="121" w:name="_Toc3896721"/>
      <w:r>
        <w:rPr>
          <w:rFonts w:hint="eastAsia"/>
          <w:sz w:val="24"/>
          <w:szCs w:val="24"/>
        </w:rPr>
        <w:t>一、行政法规</w:t>
      </w:r>
      <w:bookmarkEnd w:id="119"/>
      <w:bookmarkEnd w:id="120"/>
      <w:bookmarkEnd w:id="121"/>
    </w:p>
    <w:p>
      <w:pPr>
        <w:pStyle w:val="4"/>
        <w:rPr>
          <w:rFonts w:ascii="仿宋" w:hAnsi="仿宋"/>
          <w:szCs w:val="24"/>
        </w:rPr>
      </w:pPr>
      <w:bookmarkStart w:id="122" w:name="_Toc3896722"/>
      <w:bookmarkStart w:id="123" w:name="_Toc445043898"/>
      <w:bookmarkStart w:id="124" w:name="_Toc404963362"/>
      <w:r>
        <w:rPr>
          <w:rFonts w:hint="eastAsia" w:ascii="仿宋" w:hAnsi="仿宋"/>
          <w:szCs w:val="24"/>
        </w:rPr>
        <w:t>（一）《期货交易管理条例》</w:t>
      </w:r>
      <w:bookmarkEnd w:id="122"/>
      <w:bookmarkEnd w:id="123"/>
      <w:bookmarkEnd w:id="124"/>
    </w:p>
    <w:p>
      <w:pPr>
        <w:pStyle w:val="5"/>
      </w:pPr>
      <w:r>
        <w:rPr>
          <w:rFonts w:hint="eastAsia"/>
        </w:rPr>
        <w:t>1、期货交易遵循原则、禁止行为</w:t>
      </w:r>
    </w:p>
    <w:p>
      <w:pPr>
        <w:spacing w:line="360" w:lineRule="auto"/>
        <w:ind w:firstLine="480" w:firstLineChars="200"/>
        <w:rPr>
          <w:rFonts w:ascii="仿宋" w:hAnsi="仿宋"/>
        </w:rPr>
      </w:pPr>
      <w:r>
        <w:rPr>
          <w:rFonts w:hint="eastAsia" w:ascii="仿宋" w:hAnsi="仿宋"/>
        </w:rPr>
        <w:t>三公原则、诚信原则，禁止欺诈、内幕交易、操纵期货交易价格等</w:t>
      </w:r>
    </w:p>
    <w:p>
      <w:pPr>
        <w:spacing w:line="360" w:lineRule="auto"/>
        <w:ind w:firstLine="480" w:firstLineChars="200"/>
        <w:rPr>
          <w:rFonts w:ascii="仿宋" w:hAnsi="仿宋"/>
        </w:rPr>
      </w:pPr>
      <w:r>
        <w:rPr>
          <w:rFonts w:hint="eastAsia" w:ascii="仿宋" w:hAnsi="仿宋"/>
        </w:rPr>
        <w:t>依据：第三条</w:t>
      </w:r>
    </w:p>
    <w:p>
      <w:pPr>
        <w:spacing w:line="360" w:lineRule="auto"/>
        <w:ind w:firstLine="480" w:firstLineChars="200"/>
        <w:rPr>
          <w:rFonts w:ascii="仿宋" w:hAnsi="仿宋"/>
        </w:rPr>
      </w:pPr>
      <w:r>
        <w:rPr>
          <w:rFonts w:hint="eastAsia" w:ascii="仿宋" w:hAnsi="仿宋"/>
        </w:rPr>
        <w:t>第三条　从事期货交易活动，应当遵循公开、公平、公正和诚实信用的原则。禁止欺诈、内幕交易和操纵期货交易价格等违法行为。</w:t>
      </w:r>
    </w:p>
    <w:p>
      <w:pPr>
        <w:pStyle w:val="5"/>
      </w:pPr>
      <w:r>
        <w:rPr>
          <w:rFonts w:hint="eastAsia"/>
        </w:rPr>
        <w:t>2、期货交易所性质</w:t>
      </w:r>
    </w:p>
    <w:p>
      <w:pPr>
        <w:spacing w:line="360" w:lineRule="auto"/>
        <w:ind w:firstLine="480" w:firstLineChars="200"/>
        <w:rPr>
          <w:rFonts w:ascii="仿宋" w:hAnsi="仿宋"/>
        </w:rPr>
      </w:pPr>
      <w:r>
        <w:rPr>
          <w:rFonts w:hint="eastAsia" w:ascii="仿宋" w:hAnsi="仿宋"/>
        </w:rPr>
        <w:t>非营利性、自律管理、以全部财产承担责任、负责人由国务院监督管理机构任命</w:t>
      </w:r>
    </w:p>
    <w:p>
      <w:pPr>
        <w:spacing w:line="360" w:lineRule="auto"/>
        <w:ind w:firstLine="480" w:firstLineChars="200"/>
        <w:rPr>
          <w:rFonts w:ascii="仿宋" w:hAnsi="仿宋"/>
        </w:rPr>
      </w:pPr>
      <w:r>
        <w:rPr>
          <w:rFonts w:hint="eastAsia" w:ascii="仿宋" w:hAnsi="仿宋"/>
        </w:rPr>
        <w:t>依据：第七条</w:t>
      </w:r>
    </w:p>
    <w:p>
      <w:pPr>
        <w:spacing w:line="360" w:lineRule="auto"/>
        <w:ind w:firstLine="480" w:firstLineChars="200"/>
        <w:rPr>
          <w:rFonts w:ascii="仿宋" w:hAnsi="仿宋"/>
        </w:rPr>
      </w:pPr>
      <w:r>
        <w:rPr>
          <w:rFonts w:hint="eastAsia" w:ascii="仿宋" w:hAnsi="仿宋"/>
        </w:rPr>
        <w:t>第七条　期货交易所不以营利为目的，按照其章程的规定实行自律管理。期货交易所以其全部财产承担民事责任。期货交易所的负责人由国务院期货监督管理机构任免。</w:t>
      </w:r>
    </w:p>
    <w:p>
      <w:pPr>
        <w:pStyle w:val="5"/>
      </w:pPr>
      <w:r>
        <w:rPr>
          <w:rFonts w:hint="eastAsia"/>
        </w:rPr>
        <w:t>3、交易所风险管理制度</w:t>
      </w:r>
    </w:p>
    <w:p>
      <w:pPr>
        <w:spacing w:line="360" w:lineRule="auto"/>
        <w:ind w:firstLine="480" w:firstLineChars="200"/>
        <w:rPr>
          <w:rFonts w:ascii="仿宋" w:hAnsi="仿宋"/>
        </w:rPr>
      </w:pPr>
      <w:r>
        <w:rPr>
          <w:rFonts w:hint="eastAsia" w:ascii="仿宋" w:hAnsi="仿宋"/>
        </w:rPr>
        <w:t>保证金制度、当日无负债结算制度、风险准备金制度等</w:t>
      </w:r>
    </w:p>
    <w:p>
      <w:pPr>
        <w:spacing w:line="360" w:lineRule="auto"/>
        <w:ind w:firstLine="480" w:firstLineChars="200"/>
        <w:rPr>
          <w:rFonts w:ascii="仿宋" w:hAnsi="仿宋"/>
        </w:rPr>
      </w:pPr>
      <w:r>
        <w:rPr>
          <w:rFonts w:hint="eastAsia" w:ascii="仿宋" w:hAnsi="仿宋"/>
        </w:rPr>
        <w:t>依据：第十一条</w:t>
      </w:r>
    </w:p>
    <w:p>
      <w:pPr>
        <w:pStyle w:val="38"/>
        <w:shd w:val="clear" w:color="auto" w:fill="FFFFFF"/>
        <w:spacing w:before="0" w:beforeAutospacing="0" w:after="0" w:afterAutospacing="0" w:line="360" w:lineRule="auto"/>
        <w:rPr>
          <w:rFonts w:ascii="仿宋" w:hAnsi="仿宋"/>
        </w:rPr>
      </w:pPr>
      <w:r>
        <w:rPr>
          <w:rFonts w:hint="eastAsia" w:ascii="仿宋" w:hAnsi="仿宋"/>
        </w:rPr>
        <w:t xml:space="preserve">第十一条　期货交易所应当按照国家有关规定建立、健全下列风险管理制度： </w:t>
      </w:r>
    </w:p>
    <w:p>
      <w:pPr>
        <w:pStyle w:val="38"/>
        <w:shd w:val="clear" w:color="auto" w:fill="FFFFFF"/>
        <w:spacing w:before="0" w:beforeAutospacing="0" w:after="0" w:afterAutospacing="0" w:line="360" w:lineRule="auto"/>
        <w:rPr>
          <w:rFonts w:ascii="仿宋" w:hAnsi="仿宋"/>
        </w:rPr>
      </w:pPr>
      <w:r>
        <w:rPr>
          <w:rFonts w:hint="eastAsia" w:ascii="仿宋" w:hAnsi="仿宋"/>
        </w:rPr>
        <w:t xml:space="preserve">　　（一）保证金制度； </w:t>
      </w:r>
    </w:p>
    <w:p>
      <w:pPr>
        <w:pStyle w:val="38"/>
        <w:shd w:val="clear" w:color="auto" w:fill="FFFFFF"/>
        <w:spacing w:before="0" w:beforeAutospacing="0" w:after="0" w:afterAutospacing="0" w:line="360" w:lineRule="auto"/>
        <w:rPr>
          <w:rFonts w:ascii="仿宋" w:hAnsi="仿宋"/>
        </w:rPr>
      </w:pPr>
      <w:r>
        <w:rPr>
          <w:rFonts w:hint="eastAsia" w:ascii="仿宋" w:hAnsi="仿宋"/>
        </w:rPr>
        <w:t xml:space="preserve">　　（二）当日无负债结算制度； </w:t>
      </w:r>
    </w:p>
    <w:p>
      <w:pPr>
        <w:pStyle w:val="38"/>
        <w:shd w:val="clear" w:color="auto" w:fill="FFFFFF"/>
        <w:spacing w:before="0" w:beforeAutospacing="0" w:after="0" w:afterAutospacing="0" w:line="360" w:lineRule="auto"/>
        <w:rPr>
          <w:rFonts w:ascii="仿宋" w:hAnsi="仿宋"/>
        </w:rPr>
      </w:pPr>
      <w:r>
        <w:rPr>
          <w:rFonts w:hint="eastAsia" w:ascii="仿宋" w:hAnsi="仿宋"/>
        </w:rPr>
        <w:t xml:space="preserve">　　（三）涨跌停板制度； </w:t>
      </w:r>
    </w:p>
    <w:p>
      <w:pPr>
        <w:pStyle w:val="38"/>
        <w:shd w:val="clear" w:color="auto" w:fill="FFFFFF"/>
        <w:spacing w:before="0" w:beforeAutospacing="0" w:after="0" w:afterAutospacing="0" w:line="360" w:lineRule="auto"/>
        <w:rPr>
          <w:rFonts w:ascii="仿宋" w:hAnsi="仿宋"/>
        </w:rPr>
      </w:pPr>
      <w:r>
        <w:rPr>
          <w:rFonts w:hint="eastAsia" w:ascii="仿宋" w:hAnsi="仿宋"/>
        </w:rPr>
        <w:t xml:space="preserve">　　（四）持仓限额和大户持仓报告制度； </w:t>
      </w:r>
    </w:p>
    <w:p>
      <w:pPr>
        <w:pStyle w:val="38"/>
        <w:shd w:val="clear" w:color="auto" w:fill="FFFFFF"/>
        <w:spacing w:before="0" w:beforeAutospacing="0" w:after="0" w:afterAutospacing="0" w:line="360" w:lineRule="auto"/>
        <w:rPr>
          <w:rFonts w:ascii="仿宋" w:hAnsi="仿宋"/>
        </w:rPr>
      </w:pPr>
      <w:r>
        <w:rPr>
          <w:rFonts w:hint="eastAsia" w:ascii="仿宋" w:hAnsi="仿宋"/>
        </w:rPr>
        <w:t xml:space="preserve">　　（五）风险准备金制度； </w:t>
      </w:r>
    </w:p>
    <w:p>
      <w:pPr>
        <w:pStyle w:val="38"/>
        <w:shd w:val="clear" w:color="auto" w:fill="FFFFFF"/>
        <w:spacing w:before="0" w:beforeAutospacing="0" w:after="0" w:afterAutospacing="0" w:line="360" w:lineRule="auto"/>
        <w:rPr>
          <w:rFonts w:ascii="仿宋" w:hAnsi="仿宋"/>
        </w:rPr>
      </w:pPr>
      <w:r>
        <w:rPr>
          <w:rFonts w:hint="eastAsia" w:ascii="仿宋" w:hAnsi="仿宋"/>
        </w:rPr>
        <w:t xml:space="preserve">　　（六）国务院期货监督管理机构规定的其他风险管理制度。 </w:t>
      </w:r>
    </w:p>
    <w:p>
      <w:pPr>
        <w:spacing w:line="360" w:lineRule="auto"/>
        <w:ind w:firstLine="480" w:firstLineChars="200"/>
        <w:rPr>
          <w:rFonts w:ascii="仿宋" w:hAnsi="仿宋"/>
        </w:rPr>
      </w:pPr>
      <w:r>
        <w:rPr>
          <w:rFonts w:hint="eastAsia" w:ascii="仿宋" w:hAnsi="仿宋"/>
        </w:rPr>
        <w:t>实行会员分级结算制度的期货交易所，还应当建立、健全结算担保金制度。</w:t>
      </w:r>
    </w:p>
    <w:p>
      <w:pPr>
        <w:pStyle w:val="5"/>
      </w:pPr>
      <w:r>
        <w:rPr>
          <w:rFonts w:hint="eastAsia"/>
        </w:rPr>
        <w:t>4、异常情况时，交易所采取的紧急措施</w:t>
      </w:r>
    </w:p>
    <w:p>
      <w:pPr>
        <w:spacing w:line="360" w:lineRule="auto"/>
        <w:ind w:firstLine="480" w:firstLineChars="200"/>
        <w:rPr>
          <w:rFonts w:ascii="仿宋" w:hAnsi="仿宋"/>
        </w:rPr>
      </w:pPr>
      <w:r>
        <w:rPr>
          <w:rFonts w:hint="eastAsia" w:ascii="仿宋" w:hAnsi="仿宋"/>
        </w:rPr>
        <w:t>提高保证金、调整涨跌停板、限制会员或者客户的最大持仓量</w:t>
      </w:r>
    </w:p>
    <w:p>
      <w:pPr>
        <w:spacing w:line="360" w:lineRule="auto"/>
        <w:ind w:firstLine="480" w:firstLineChars="200"/>
        <w:rPr>
          <w:rFonts w:ascii="仿宋" w:hAnsi="仿宋"/>
        </w:rPr>
      </w:pPr>
      <w:r>
        <w:rPr>
          <w:rFonts w:hint="eastAsia" w:ascii="仿宋" w:hAnsi="仿宋"/>
        </w:rPr>
        <w:t>依据：第十二条</w:t>
      </w:r>
    </w:p>
    <w:p>
      <w:pPr>
        <w:spacing w:line="360" w:lineRule="auto"/>
        <w:ind w:firstLine="480" w:firstLineChars="200"/>
        <w:rPr>
          <w:rFonts w:ascii="仿宋" w:hAnsi="仿宋"/>
        </w:rPr>
      </w:pPr>
      <w:r>
        <w:rPr>
          <w:rFonts w:hint="eastAsia" w:ascii="仿宋" w:hAnsi="仿宋"/>
        </w:rPr>
        <w:t xml:space="preserve">第十二条　当期货市场出现异常情况时，期货交易所可以按照其章程规定的权限和程序，决定采取下列紧急措施，并应当立即报告国务院期货监督管理机构： </w:t>
      </w:r>
    </w:p>
    <w:p>
      <w:pPr>
        <w:spacing w:line="360" w:lineRule="auto"/>
        <w:ind w:firstLine="480" w:firstLineChars="200"/>
        <w:rPr>
          <w:rFonts w:ascii="仿宋" w:hAnsi="仿宋"/>
        </w:rPr>
      </w:pPr>
      <w:r>
        <w:rPr>
          <w:rFonts w:hint="eastAsia" w:ascii="仿宋" w:hAnsi="仿宋"/>
        </w:rPr>
        <w:t xml:space="preserve">（一）提高保证金； </w:t>
      </w:r>
    </w:p>
    <w:p>
      <w:pPr>
        <w:spacing w:line="360" w:lineRule="auto"/>
        <w:ind w:firstLine="480" w:firstLineChars="200"/>
        <w:rPr>
          <w:rFonts w:ascii="仿宋" w:hAnsi="仿宋"/>
        </w:rPr>
      </w:pPr>
      <w:r>
        <w:rPr>
          <w:rFonts w:hint="eastAsia" w:ascii="仿宋" w:hAnsi="仿宋"/>
        </w:rPr>
        <w:t xml:space="preserve">（二）调整涨跌停板幅度； </w:t>
      </w:r>
    </w:p>
    <w:p>
      <w:pPr>
        <w:spacing w:line="360" w:lineRule="auto"/>
        <w:ind w:firstLine="480" w:firstLineChars="200"/>
        <w:rPr>
          <w:rFonts w:ascii="仿宋" w:hAnsi="仿宋"/>
        </w:rPr>
      </w:pPr>
      <w:r>
        <w:rPr>
          <w:rFonts w:hint="eastAsia" w:ascii="仿宋" w:hAnsi="仿宋"/>
        </w:rPr>
        <w:t xml:space="preserve">（三）限制会员或者客户的最大持仓量； </w:t>
      </w:r>
    </w:p>
    <w:p>
      <w:pPr>
        <w:spacing w:line="360" w:lineRule="auto"/>
        <w:ind w:firstLine="480" w:firstLineChars="200"/>
        <w:rPr>
          <w:rFonts w:ascii="仿宋" w:hAnsi="仿宋"/>
        </w:rPr>
      </w:pPr>
      <w:r>
        <w:rPr>
          <w:rFonts w:hint="eastAsia" w:ascii="仿宋" w:hAnsi="仿宋"/>
        </w:rPr>
        <w:t xml:space="preserve">（四）暂时停止交易； </w:t>
      </w:r>
    </w:p>
    <w:p>
      <w:pPr>
        <w:spacing w:line="360" w:lineRule="auto"/>
        <w:ind w:firstLine="480" w:firstLineChars="200"/>
        <w:rPr>
          <w:rFonts w:ascii="仿宋" w:hAnsi="仿宋"/>
        </w:rPr>
      </w:pPr>
      <w:r>
        <w:rPr>
          <w:rFonts w:hint="eastAsia" w:ascii="仿宋" w:hAnsi="仿宋"/>
        </w:rPr>
        <w:t xml:space="preserve">（五）采取其他紧急措施。 </w:t>
      </w:r>
    </w:p>
    <w:p>
      <w:pPr>
        <w:spacing w:line="360" w:lineRule="auto"/>
        <w:ind w:firstLine="480" w:firstLineChars="200"/>
        <w:rPr>
          <w:rFonts w:ascii="仿宋" w:hAnsi="仿宋"/>
        </w:rPr>
      </w:pPr>
      <w:r>
        <w:rPr>
          <w:rFonts w:hint="eastAsia" w:ascii="仿宋" w:hAnsi="仿宋"/>
        </w:rPr>
        <w:t xml:space="preserve">前款所称异常情况，是指在交易中发生操纵期货交易价格的行为或者发生不可抗拒的突发事件以及国务院期货监督管理机构规定的其他情形。 </w:t>
      </w:r>
    </w:p>
    <w:p>
      <w:pPr>
        <w:spacing w:line="360" w:lineRule="auto"/>
        <w:ind w:firstLine="480" w:firstLineChars="200"/>
        <w:rPr>
          <w:rFonts w:ascii="仿宋" w:hAnsi="仿宋"/>
        </w:rPr>
      </w:pPr>
      <w:r>
        <w:rPr>
          <w:rFonts w:hint="eastAsia" w:ascii="仿宋" w:hAnsi="仿宋"/>
        </w:rPr>
        <w:t>异常情况消失后，期货交易所应当及时取消紧急措施。</w:t>
      </w:r>
    </w:p>
    <w:p>
      <w:pPr>
        <w:pStyle w:val="5"/>
      </w:pPr>
      <w:r>
        <w:rPr>
          <w:rFonts w:hint="eastAsia"/>
        </w:rPr>
        <w:t>5、期货公司成立的条件</w:t>
      </w:r>
    </w:p>
    <w:p>
      <w:pPr>
        <w:spacing w:line="360" w:lineRule="auto"/>
        <w:ind w:firstLine="480" w:firstLineChars="200"/>
        <w:rPr>
          <w:rFonts w:ascii="仿宋" w:hAnsi="仿宋"/>
        </w:rPr>
      </w:pPr>
      <w:r>
        <w:rPr>
          <w:rFonts w:hint="eastAsia" w:ascii="仿宋" w:hAnsi="仿宋"/>
        </w:rPr>
        <w:t>注册资本不低于3000万元，董、监、高具备任职条件、从业人员具备从业资格</w:t>
      </w:r>
    </w:p>
    <w:p>
      <w:pPr>
        <w:spacing w:line="360" w:lineRule="auto"/>
        <w:ind w:firstLine="480" w:firstLineChars="200"/>
        <w:rPr>
          <w:rFonts w:ascii="仿宋" w:hAnsi="仿宋"/>
        </w:rPr>
      </w:pPr>
      <w:r>
        <w:rPr>
          <w:rFonts w:hint="eastAsia" w:ascii="仿宋" w:hAnsi="仿宋"/>
        </w:rPr>
        <w:t>依据：第十六条（一）、（二）</w:t>
      </w:r>
    </w:p>
    <w:p>
      <w:pPr>
        <w:pStyle w:val="38"/>
        <w:shd w:val="clear" w:color="auto" w:fill="FFFFFF"/>
        <w:spacing w:before="0" w:beforeAutospacing="0" w:after="0" w:afterAutospacing="0" w:line="360" w:lineRule="auto"/>
        <w:rPr>
          <w:rFonts w:ascii="仿宋" w:hAnsi="仿宋"/>
        </w:rPr>
      </w:pPr>
      <w:r>
        <w:rPr>
          <w:rFonts w:hint="eastAsia" w:ascii="仿宋" w:hAnsi="仿宋"/>
        </w:rPr>
        <w:t xml:space="preserve">    第十六条　申请设立期货公司，应当符合《中华人民共和国公司法》的规定，并具备下列条件： </w:t>
      </w:r>
    </w:p>
    <w:p>
      <w:pPr>
        <w:pStyle w:val="38"/>
        <w:shd w:val="clear" w:color="auto" w:fill="FFFFFF"/>
        <w:spacing w:before="0" w:beforeAutospacing="0" w:after="0" w:afterAutospacing="0" w:line="360" w:lineRule="auto"/>
        <w:rPr>
          <w:rFonts w:ascii="仿宋" w:hAnsi="仿宋"/>
        </w:rPr>
      </w:pPr>
      <w:r>
        <w:rPr>
          <w:rFonts w:hint="eastAsia" w:ascii="仿宋" w:hAnsi="仿宋"/>
        </w:rPr>
        <w:t xml:space="preserve">　　（一）注册资本最低限额为人民币3000万元； </w:t>
      </w:r>
    </w:p>
    <w:p>
      <w:pPr>
        <w:pStyle w:val="38"/>
        <w:shd w:val="clear" w:color="auto" w:fill="FFFFFF"/>
        <w:spacing w:before="0" w:beforeAutospacing="0" w:after="0" w:afterAutospacing="0" w:line="360" w:lineRule="auto"/>
        <w:rPr>
          <w:rFonts w:ascii="仿宋" w:hAnsi="仿宋"/>
        </w:rPr>
      </w:pPr>
      <w:r>
        <w:rPr>
          <w:rFonts w:hint="eastAsia" w:ascii="仿宋" w:hAnsi="仿宋"/>
        </w:rPr>
        <w:t xml:space="preserve">　　（二）董事、监事、高级管理人员具备任职条件，从业人员具有期货从业资格； </w:t>
      </w:r>
    </w:p>
    <w:p>
      <w:pPr>
        <w:pStyle w:val="38"/>
        <w:shd w:val="clear" w:color="auto" w:fill="FFFFFF"/>
        <w:spacing w:before="0" w:beforeAutospacing="0" w:after="0" w:afterAutospacing="0" w:line="360" w:lineRule="auto"/>
        <w:rPr>
          <w:rFonts w:ascii="仿宋" w:hAnsi="仿宋"/>
        </w:rPr>
      </w:pPr>
      <w:r>
        <w:rPr>
          <w:rFonts w:hint="eastAsia" w:ascii="仿宋" w:hAnsi="仿宋"/>
        </w:rPr>
        <w:t xml:space="preserve">　　（三）有符合法律、行政法规规定的公司章程； </w:t>
      </w:r>
    </w:p>
    <w:p>
      <w:pPr>
        <w:pStyle w:val="38"/>
        <w:shd w:val="clear" w:color="auto" w:fill="FFFFFF"/>
        <w:spacing w:before="0" w:beforeAutospacing="0" w:after="0" w:afterAutospacing="0" w:line="360" w:lineRule="auto"/>
        <w:rPr>
          <w:rFonts w:ascii="仿宋" w:hAnsi="仿宋"/>
        </w:rPr>
      </w:pPr>
      <w:r>
        <w:rPr>
          <w:rFonts w:hint="eastAsia" w:ascii="仿宋" w:hAnsi="仿宋"/>
        </w:rPr>
        <w:t xml:space="preserve">　　（四）主要股东以及实际控制人具有持续盈利能力，信誉良好，最近3年无重大违法违规记录； </w:t>
      </w:r>
    </w:p>
    <w:p>
      <w:pPr>
        <w:pStyle w:val="38"/>
        <w:shd w:val="clear" w:color="auto" w:fill="FFFFFF"/>
        <w:spacing w:before="0" w:beforeAutospacing="0" w:after="0" w:afterAutospacing="0" w:line="360" w:lineRule="auto"/>
        <w:rPr>
          <w:rFonts w:ascii="仿宋" w:hAnsi="仿宋"/>
        </w:rPr>
      </w:pPr>
      <w:r>
        <w:rPr>
          <w:rFonts w:hint="eastAsia" w:ascii="仿宋" w:hAnsi="仿宋"/>
        </w:rPr>
        <w:t xml:space="preserve">　　（五）有合格的经营场所和业务设施； </w:t>
      </w:r>
    </w:p>
    <w:p>
      <w:pPr>
        <w:pStyle w:val="38"/>
        <w:shd w:val="clear" w:color="auto" w:fill="FFFFFF"/>
        <w:spacing w:before="0" w:beforeAutospacing="0" w:after="0" w:afterAutospacing="0" w:line="360" w:lineRule="auto"/>
        <w:rPr>
          <w:rFonts w:ascii="仿宋" w:hAnsi="仿宋"/>
        </w:rPr>
      </w:pPr>
      <w:r>
        <w:rPr>
          <w:rFonts w:hint="eastAsia" w:ascii="仿宋" w:hAnsi="仿宋"/>
        </w:rPr>
        <w:t xml:space="preserve">　　（六）有健全的风险管理和内部控制制度； </w:t>
      </w:r>
    </w:p>
    <w:p>
      <w:pPr>
        <w:pStyle w:val="38"/>
        <w:shd w:val="clear" w:color="auto" w:fill="FFFFFF"/>
        <w:spacing w:before="0" w:beforeAutospacing="0" w:after="0" w:afterAutospacing="0" w:line="360" w:lineRule="auto"/>
        <w:rPr>
          <w:rFonts w:ascii="仿宋" w:hAnsi="仿宋"/>
        </w:rPr>
      </w:pPr>
      <w:r>
        <w:rPr>
          <w:rFonts w:hint="eastAsia" w:ascii="仿宋" w:hAnsi="仿宋"/>
        </w:rPr>
        <w:t xml:space="preserve">　　（七）国务院期货监督管理机构规定的其他条件。 </w:t>
      </w:r>
    </w:p>
    <w:p>
      <w:pPr>
        <w:pStyle w:val="38"/>
        <w:shd w:val="clear" w:color="auto" w:fill="FFFFFF"/>
        <w:spacing w:before="0" w:beforeAutospacing="0" w:after="0" w:afterAutospacing="0" w:line="360" w:lineRule="auto"/>
        <w:rPr>
          <w:rFonts w:ascii="仿宋" w:hAnsi="仿宋"/>
        </w:rPr>
      </w:pPr>
      <w:r>
        <w:rPr>
          <w:rFonts w:hint="eastAsia" w:ascii="仿宋" w:hAnsi="仿宋"/>
        </w:rPr>
        <w:t xml:space="preserve">　　国务院期货监督管理机构根据审慎监管原则和各项业务的风险程度，可以提高注册资本最低限额。注册资本应当是实缴资本。股东应当以货币或者期货公司经营必需的非货币财产出资，货币出资比例不得低于85%。 </w:t>
      </w:r>
    </w:p>
    <w:p>
      <w:pPr>
        <w:pStyle w:val="38"/>
        <w:shd w:val="clear" w:color="auto" w:fill="FFFFFF"/>
        <w:spacing w:before="0" w:beforeAutospacing="0" w:after="0" w:afterAutospacing="0" w:line="360" w:lineRule="auto"/>
        <w:rPr>
          <w:rFonts w:ascii="仿宋" w:hAnsi="仿宋"/>
        </w:rPr>
      </w:pPr>
      <w:r>
        <w:rPr>
          <w:rFonts w:hint="eastAsia" w:ascii="仿宋" w:hAnsi="仿宋"/>
        </w:rPr>
        <w:t xml:space="preserve">　　国务院期货监督管理机构应当在受理期货公司设立申请之日起6个月内，根据审慎监管原则进行审查，作出批准或者不批准的决定。 </w:t>
      </w:r>
    </w:p>
    <w:p>
      <w:pPr>
        <w:spacing w:line="360" w:lineRule="auto"/>
        <w:ind w:firstLine="480" w:firstLineChars="200"/>
        <w:rPr>
          <w:rFonts w:ascii="仿宋" w:hAnsi="仿宋"/>
        </w:rPr>
      </w:pPr>
      <w:r>
        <w:rPr>
          <w:rFonts w:hint="eastAsia" w:ascii="仿宋" w:hAnsi="仿宋"/>
        </w:rPr>
        <w:t>未经国务院期货监督管理机构批准，任何单位和个人不得委托或者接受他人委托持有或者管理期货公司的股权。</w:t>
      </w:r>
    </w:p>
    <w:p>
      <w:pPr>
        <w:pStyle w:val="5"/>
      </w:pPr>
      <w:r>
        <w:rPr>
          <w:rFonts w:hint="eastAsia"/>
        </w:rPr>
        <w:t>6、期货公司禁止行为</w:t>
      </w:r>
    </w:p>
    <w:p>
      <w:pPr>
        <w:spacing w:line="360" w:lineRule="auto"/>
        <w:ind w:firstLine="480" w:firstLineChars="200"/>
        <w:rPr>
          <w:rFonts w:ascii="仿宋" w:hAnsi="仿宋"/>
        </w:rPr>
      </w:pPr>
      <w:r>
        <w:rPr>
          <w:rFonts w:hint="eastAsia" w:ascii="仿宋" w:hAnsi="仿宋"/>
        </w:rPr>
        <w:t>不得从事或变相从事自营业务、不得为股东、实际控制人或其他关联人提供融资、不得对外担保</w:t>
      </w:r>
    </w:p>
    <w:p>
      <w:pPr>
        <w:spacing w:line="360" w:lineRule="auto"/>
        <w:ind w:firstLine="480" w:firstLineChars="200"/>
        <w:rPr>
          <w:rFonts w:ascii="仿宋" w:hAnsi="仿宋"/>
        </w:rPr>
      </w:pPr>
      <w:r>
        <w:rPr>
          <w:rFonts w:hint="eastAsia" w:ascii="仿宋" w:hAnsi="仿宋"/>
        </w:rPr>
        <w:t>依据：第十七条第3、4款</w:t>
      </w:r>
    </w:p>
    <w:p>
      <w:pPr>
        <w:pStyle w:val="38"/>
        <w:shd w:val="clear" w:color="auto" w:fill="FFFFFF"/>
        <w:spacing w:before="0" w:beforeAutospacing="0" w:after="0" w:afterAutospacing="0" w:line="360" w:lineRule="auto"/>
        <w:rPr>
          <w:rFonts w:ascii="仿宋" w:hAnsi="仿宋"/>
        </w:rPr>
      </w:pPr>
      <w:r>
        <w:rPr>
          <w:rFonts w:hint="eastAsia" w:ascii="仿宋" w:hAnsi="仿宋"/>
        </w:rPr>
        <w:t xml:space="preserve">    第十七条　期货公司业务实行许可制度，由国务院期货监督管理机构按照其商品期货、金融期货业务种类颁发许可证。期货公司除申请经营境内期货经纪业务外，还可以申请经营境外期货经纪、期货投资咨询以及国务院期货监督管理机构规定的其他期货业务。 </w:t>
      </w:r>
    </w:p>
    <w:p>
      <w:pPr>
        <w:pStyle w:val="38"/>
        <w:shd w:val="clear" w:color="auto" w:fill="FFFFFF"/>
        <w:spacing w:before="0" w:beforeAutospacing="0" w:after="0" w:afterAutospacing="0" w:line="360" w:lineRule="auto"/>
        <w:rPr>
          <w:rFonts w:ascii="仿宋" w:hAnsi="仿宋"/>
        </w:rPr>
      </w:pPr>
      <w:r>
        <w:rPr>
          <w:rFonts w:hint="eastAsia" w:ascii="仿宋" w:hAnsi="仿宋"/>
        </w:rPr>
        <w:t xml:space="preserve">    期货公司不得从事与期货业务无关的活动，法律、行政法规或者国务院期货监督管理机构另有规定的除外。 </w:t>
      </w:r>
    </w:p>
    <w:p>
      <w:pPr>
        <w:pStyle w:val="38"/>
        <w:shd w:val="clear" w:color="auto" w:fill="FFFFFF"/>
        <w:spacing w:before="0" w:beforeAutospacing="0" w:after="0" w:afterAutospacing="0" w:line="360" w:lineRule="auto"/>
        <w:rPr>
          <w:rFonts w:ascii="仿宋" w:hAnsi="仿宋"/>
        </w:rPr>
      </w:pPr>
      <w:r>
        <w:rPr>
          <w:rFonts w:hint="eastAsia" w:ascii="仿宋" w:hAnsi="仿宋"/>
        </w:rPr>
        <w:t xml:space="preserve">    期货公司不得从事或者变相从事期货自营业务。 </w:t>
      </w:r>
    </w:p>
    <w:p>
      <w:pPr>
        <w:pStyle w:val="38"/>
        <w:shd w:val="clear" w:color="auto" w:fill="FFFFFF"/>
        <w:spacing w:before="0" w:beforeAutospacing="0" w:after="0" w:afterAutospacing="0" w:line="360" w:lineRule="auto"/>
        <w:rPr>
          <w:rFonts w:ascii="仿宋" w:hAnsi="仿宋"/>
        </w:rPr>
      </w:pPr>
      <w:r>
        <w:rPr>
          <w:rFonts w:hint="eastAsia" w:ascii="仿宋" w:hAnsi="仿宋"/>
        </w:rPr>
        <w:t xml:space="preserve">    期货公司不得为其股东、实际控制人或者其他关联人提供融资，不得对外担保。</w:t>
      </w:r>
    </w:p>
    <w:p>
      <w:pPr>
        <w:pStyle w:val="5"/>
      </w:pPr>
      <w:r>
        <w:rPr>
          <w:rFonts w:hint="eastAsia"/>
        </w:rPr>
        <w:t>7、期货经纪业务的行纪性质</w:t>
      </w:r>
    </w:p>
    <w:p>
      <w:pPr>
        <w:spacing w:line="360" w:lineRule="auto"/>
        <w:ind w:firstLine="480" w:firstLineChars="200"/>
        <w:rPr>
          <w:rFonts w:ascii="仿宋" w:hAnsi="仿宋"/>
        </w:rPr>
      </w:pPr>
      <w:r>
        <w:rPr>
          <w:rFonts w:hint="eastAsia" w:ascii="仿宋" w:hAnsi="仿宋"/>
        </w:rPr>
        <w:t>期货公司接受客户委托，以自己的名义为客户进行期货交易，交易结果由客户承担。</w:t>
      </w:r>
    </w:p>
    <w:p>
      <w:pPr>
        <w:spacing w:line="360" w:lineRule="auto"/>
        <w:ind w:firstLine="480" w:firstLineChars="200"/>
        <w:rPr>
          <w:rFonts w:ascii="仿宋" w:hAnsi="仿宋"/>
        </w:rPr>
      </w:pPr>
      <w:r>
        <w:rPr>
          <w:rFonts w:hint="eastAsia" w:ascii="仿宋" w:hAnsi="仿宋"/>
        </w:rPr>
        <w:t>依据：第十八条</w:t>
      </w:r>
    </w:p>
    <w:p>
      <w:pPr>
        <w:spacing w:line="360" w:lineRule="auto"/>
        <w:ind w:firstLine="480" w:firstLineChars="200"/>
        <w:rPr>
          <w:rFonts w:ascii="仿宋" w:hAnsi="仿宋"/>
        </w:rPr>
      </w:pPr>
      <w:r>
        <w:rPr>
          <w:rFonts w:hint="eastAsia" w:ascii="仿宋" w:hAnsi="仿宋"/>
        </w:rPr>
        <w:t>第十八条　期货公司从事经纪业务，接受客户委托，以自己的名义为客户进行期货交易，交易结果由客户承担。</w:t>
      </w:r>
    </w:p>
    <w:p>
      <w:pPr>
        <w:pStyle w:val="5"/>
      </w:pPr>
      <w:r>
        <w:rPr>
          <w:rFonts w:hint="eastAsia"/>
        </w:rPr>
        <w:t>8、期货公司接受客户委托要求</w:t>
      </w:r>
    </w:p>
    <w:p>
      <w:pPr>
        <w:spacing w:line="360" w:lineRule="auto"/>
        <w:ind w:firstLine="480" w:firstLineChars="200"/>
        <w:rPr>
          <w:rFonts w:ascii="仿宋" w:hAnsi="仿宋"/>
        </w:rPr>
      </w:pPr>
      <w:r>
        <w:rPr>
          <w:rFonts w:hint="eastAsia" w:ascii="仿宋" w:hAnsi="仿宋"/>
        </w:rPr>
        <w:t>出示风险说明书、客户签字确认；与客户签订书面合同</w:t>
      </w:r>
    </w:p>
    <w:p>
      <w:pPr>
        <w:spacing w:line="360" w:lineRule="auto"/>
        <w:ind w:firstLine="480" w:firstLineChars="200"/>
        <w:rPr>
          <w:rFonts w:ascii="仿宋" w:hAnsi="仿宋"/>
        </w:rPr>
      </w:pPr>
      <w:r>
        <w:rPr>
          <w:rFonts w:hint="eastAsia" w:ascii="仿宋" w:hAnsi="仿宋"/>
        </w:rPr>
        <w:t>依据：第二十五条第1款</w:t>
      </w:r>
    </w:p>
    <w:p>
      <w:pPr>
        <w:pStyle w:val="38"/>
        <w:shd w:val="clear" w:color="auto" w:fill="FFFFFF"/>
        <w:spacing w:before="0" w:beforeAutospacing="0" w:after="0" w:afterAutospacing="0" w:line="360" w:lineRule="auto"/>
        <w:rPr>
          <w:rFonts w:ascii="仿宋" w:hAnsi="仿宋"/>
        </w:rPr>
      </w:pPr>
      <w:r>
        <w:rPr>
          <w:rFonts w:hint="eastAsia" w:ascii="仿宋" w:hAnsi="仿宋"/>
        </w:rPr>
        <w:t xml:space="preserve">    第二十五条　期货公司接受客户委托为其进行期货交易，应当事先向客户出示风险说明书，经客户签字确认后，与客户签订书面合同。期货公司不得未经客户委托或者不按照客户委托内容，擅自进行期货交易。 </w:t>
      </w:r>
    </w:p>
    <w:p>
      <w:pPr>
        <w:spacing w:line="360" w:lineRule="auto"/>
        <w:rPr>
          <w:rFonts w:ascii="仿宋" w:hAnsi="仿宋"/>
        </w:rPr>
      </w:pPr>
      <w:r>
        <w:rPr>
          <w:rFonts w:hint="eastAsia" w:ascii="仿宋" w:hAnsi="仿宋"/>
        </w:rPr>
        <w:t>　　期货公司不得向客户作获利保证；不得在经纪业务中与客户约定分享利益或者共担风险。</w:t>
      </w:r>
    </w:p>
    <w:p>
      <w:pPr>
        <w:pStyle w:val="5"/>
      </w:pPr>
      <w:r>
        <w:rPr>
          <w:rFonts w:hint="eastAsia"/>
        </w:rPr>
        <w:t>9、期货公司交易规则中的禁止行为</w:t>
      </w:r>
    </w:p>
    <w:p>
      <w:pPr>
        <w:spacing w:line="360" w:lineRule="auto"/>
        <w:ind w:firstLine="480" w:firstLineChars="200"/>
        <w:rPr>
          <w:rFonts w:ascii="仿宋" w:hAnsi="仿宋"/>
        </w:rPr>
      </w:pPr>
      <w:r>
        <w:rPr>
          <w:rFonts w:hint="eastAsia" w:ascii="仿宋" w:hAnsi="仿宋"/>
        </w:rPr>
        <w:t>不得未经客户委托或者不按照客户委托擅自进行期货交易、不得做获利保证、不得与客户约定分享利益或共担风险</w:t>
      </w:r>
    </w:p>
    <w:p>
      <w:pPr>
        <w:spacing w:line="360" w:lineRule="auto"/>
        <w:ind w:firstLine="480" w:firstLineChars="200"/>
        <w:rPr>
          <w:rFonts w:ascii="仿宋" w:hAnsi="仿宋"/>
        </w:rPr>
      </w:pPr>
      <w:r>
        <w:rPr>
          <w:rFonts w:hint="eastAsia" w:ascii="仿宋" w:hAnsi="仿宋"/>
        </w:rPr>
        <w:t>依据：第二十五条第1、2款</w:t>
      </w:r>
    </w:p>
    <w:p>
      <w:pPr>
        <w:spacing w:line="360" w:lineRule="auto"/>
        <w:ind w:firstLine="480" w:firstLineChars="200"/>
        <w:rPr>
          <w:rFonts w:ascii="仿宋" w:hAnsi="仿宋"/>
        </w:rPr>
      </w:pPr>
      <w:r>
        <w:rPr>
          <w:rFonts w:hint="eastAsia" w:ascii="仿宋" w:hAnsi="仿宋"/>
        </w:rPr>
        <w:t xml:space="preserve">第二十五条　期货公司接受客户委托为其进行期货交易，应当事先向客户出示风险说明书，经客户签字确认后，与客户签订书面合同。期货公司不得未经客户委托或者不按照客户委托内容，擅自进行期货交易。 </w:t>
      </w:r>
    </w:p>
    <w:p>
      <w:pPr>
        <w:spacing w:line="360" w:lineRule="auto"/>
        <w:ind w:firstLine="480" w:firstLineChars="200"/>
        <w:rPr>
          <w:rFonts w:ascii="仿宋" w:hAnsi="仿宋"/>
        </w:rPr>
      </w:pPr>
      <w:r>
        <w:rPr>
          <w:rFonts w:hint="eastAsia" w:ascii="仿宋" w:hAnsi="仿宋"/>
        </w:rPr>
        <w:t>期货公司不得向客户作获利保证；不得在经纪业务中与客户约定分享利益或者共担风险。</w:t>
      </w:r>
    </w:p>
    <w:p>
      <w:pPr>
        <w:pStyle w:val="5"/>
      </w:pPr>
      <w:r>
        <w:rPr>
          <w:rFonts w:hint="eastAsia"/>
        </w:rPr>
        <w:t>10、禁止从事期货交易的主体</w:t>
      </w:r>
    </w:p>
    <w:p>
      <w:pPr>
        <w:widowControl/>
        <w:shd w:val="clear" w:color="auto" w:fill="FFFFFF"/>
        <w:spacing w:line="360" w:lineRule="auto"/>
        <w:ind w:firstLine="480" w:firstLineChars="200"/>
        <w:jc w:val="left"/>
        <w:rPr>
          <w:rFonts w:ascii="仿宋" w:hAnsi="仿宋"/>
        </w:rPr>
      </w:pPr>
      <w:r>
        <w:rPr>
          <w:rFonts w:hint="eastAsia" w:ascii="仿宋" w:hAnsi="仿宋"/>
        </w:rPr>
        <w:t>包括：</w:t>
      </w:r>
      <w:r>
        <w:rPr>
          <w:rFonts w:hint="eastAsia" w:ascii="仿宋" w:hAnsi="仿宋" w:cs="宋体"/>
          <w:kern w:val="0"/>
        </w:rPr>
        <w:t>（一）国家机关和事业单位；（二）国务院期货监督管理机构、期货交易所、期货保证金安全存管监控机构和期货业协会的工作人员；（三）证券、期货市场禁止进入者； （四）未能提供开户证明材料的单位和个人；（五）国务院期货监督管理机构规定不得从事期货交易的其他单位和个人。</w:t>
      </w:r>
      <w:r>
        <w:rPr>
          <w:rFonts w:hint="eastAsia" w:ascii="仿宋" w:hAnsi="仿宋"/>
        </w:rPr>
        <w:t xml:space="preserve"> </w:t>
      </w:r>
    </w:p>
    <w:p>
      <w:pPr>
        <w:spacing w:line="360" w:lineRule="auto"/>
        <w:ind w:firstLine="480" w:firstLineChars="200"/>
        <w:rPr>
          <w:rFonts w:ascii="仿宋" w:hAnsi="仿宋"/>
        </w:rPr>
      </w:pPr>
      <w:r>
        <w:rPr>
          <w:rFonts w:hint="eastAsia" w:ascii="仿宋" w:hAnsi="仿宋"/>
        </w:rPr>
        <w:t>依据：第二十六条</w:t>
      </w:r>
    </w:p>
    <w:p>
      <w:pPr>
        <w:widowControl/>
        <w:shd w:val="clear" w:color="auto" w:fill="FFFFFF"/>
        <w:spacing w:line="360" w:lineRule="auto"/>
        <w:ind w:firstLine="480" w:firstLineChars="200"/>
        <w:jc w:val="left"/>
        <w:rPr>
          <w:rFonts w:ascii="仿宋" w:hAnsi="仿宋" w:cs="宋体"/>
          <w:kern w:val="0"/>
        </w:rPr>
      </w:pPr>
      <w:r>
        <w:rPr>
          <w:rFonts w:hint="eastAsia" w:ascii="仿宋" w:hAnsi="仿宋" w:cs="宋体"/>
          <w:kern w:val="0"/>
        </w:rPr>
        <w:t xml:space="preserve">第二十六条　下列单位和个人不得从事期货交易，期货公司不得接受其委托为其进行期货交易： </w:t>
      </w:r>
    </w:p>
    <w:p>
      <w:pPr>
        <w:widowControl/>
        <w:shd w:val="clear" w:color="auto" w:fill="FFFFFF"/>
        <w:spacing w:line="360" w:lineRule="auto"/>
        <w:ind w:firstLine="480" w:firstLineChars="200"/>
        <w:jc w:val="left"/>
        <w:rPr>
          <w:rFonts w:ascii="仿宋" w:hAnsi="仿宋" w:cs="宋体"/>
          <w:kern w:val="0"/>
        </w:rPr>
      </w:pPr>
      <w:r>
        <w:rPr>
          <w:rFonts w:hint="eastAsia" w:ascii="仿宋" w:hAnsi="仿宋" w:cs="宋体"/>
          <w:kern w:val="0"/>
        </w:rPr>
        <w:t xml:space="preserve">（一）国家机关和事业单位； </w:t>
      </w:r>
    </w:p>
    <w:p>
      <w:pPr>
        <w:widowControl/>
        <w:shd w:val="clear" w:color="auto" w:fill="FFFFFF"/>
        <w:spacing w:line="360" w:lineRule="auto"/>
        <w:ind w:firstLine="480" w:firstLineChars="200"/>
        <w:jc w:val="left"/>
        <w:rPr>
          <w:rFonts w:ascii="仿宋" w:hAnsi="仿宋" w:cs="宋体"/>
          <w:kern w:val="0"/>
        </w:rPr>
      </w:pPr>
      <w:r>
        <w:rPr>
          <w:rFonts w:hint="eastAsia" w:ascii="仿宋" w:hAnsi="仿宋" w:cs="宋体"/>
          <w:kern w:val="0"/>
        </w:rPr>
        <w:t xml:space="preserve">（二）国务院期货监督管理机构、期货交易所、期货保证金安全存管监控机构和期货业协会的工作人员； </w:t>
      </w:r>
    </w:p>
    <w:p>
      <w:pPr>
        <w:widowControl/>
        <w:shd w:val="clear" w:color="auto" w:fill="FFFFFF"/>
        <w:spacing w:line="360" w:lineRule="auto"/>
        <w:ind w:firstLine="480" w:firstLineChars="200"/>
        <w:jc w:val="left"/>
        <w:rPr>
          <w:rFonts w:ascii="仿宋" w:hAnsi="仿宋" w:cs="宋体"/>
          <w:kern w:val="0"/>
        </w:rPr>
      </w:pPr>
      <w:r>
        <w:rPr>
          <w:rFonts w:hint="eastAsia" w:ascii="仿宋" w:hAnsi="仿宋" w:cs="宋体"/>
          <w:kern w:val="0"/>
        </w:rPr>
        <w:t xml:space="preserve">（三）证券、期货市场禁止进入者； </w:t>
      </w:r>
    </w:p>
    <w:p>
      <w:pPr>
        <w:widowControl/>
        <w:shd w:val="clear" w:color="auto" w:fill="FFFFFF"/>
        <w:spacing w:line="360" w:lineRule="auto"/>
        <w:ind w:firstLine="480" w:firstLineChars="200"/>
        <w:jc w:val="left"/>
        <w:rPr>
          <w:rFonts w:ascii="仿宋" w:hAnsi="仿宋" w:cs="宋体"/>
          <w:kern w:val="0"/>
        </w:rPr>
      </w:pPr>
      <w:r>
        <w:rPr>
          <w:rFonts w:hint="eastAsia" w:ascii="仿宋" w:hAnsi="仿宋" w:cs="宋体"/>
          <w:kern w:val="0"/>
        </w:rPr>
        <w:t xml:space="preserve">（四）未能提供开户证明材料的单位和个人； </w:t>
      </w:r>
    </w:p>
    <w:p>
      <w:pPr>
        <w:widowControl/>
        <w:shd w:val="clear" w:color="auto" w:fill="FFFFFF"/>
        <w:spacing w:line="360" w:lineRule="auto"/>
        <w:ind w:firstLine="480" w:firstLineChars="200"/>
        <w:jc w:val="left"/>
        <w:rPr>
          <w:rFonts w:ascii="仿宋" w:hAnsi="仿宋" w:cs="宋体"/>
          <w:kern w:val="0"/>
        </w:rPr>
      </w:pPr>
      <w:r>
        <w:rPr>
          <w:rFonts w:hint="eastAsia" w:ascii="仿宋" w:hAnsi="仿宋" w:cs="宋体"/>
          <w:kern w:val="0"/>
        </w:rPr>
        <w:t>（五）国务院期货监督管理机构规定不得从事期货交易的其他单位和个人。</w:t>
      </w:r>
    </w:p>
    <w:p>
      <w:pPr>
        <w:pStyle w:val="5"/>
      </w:pPr>
      <w:r>
        <w:rPr>
          <w:rFonts w:hint="eastAsia"/>
        </w:rPr>
        <w:t>11、客户交易指令下达方式</w:t>
      </w:r>
    </w:p>
    <w:p>
      <w:pPr>
        <w:spacing w:line="360" w:lineRule="auto"/>
        <w:ind w:firstLine="480" w:firstLineChars="200"/>
        <w:rPr>
          <w:rFonts w:ascii="仿宋" w:hAnsi="仿宋"/>
        </w:rPr>
      </w:pPr>
      <w:r>
        <w:rPr>
          <w:rFonts w:hint="eastAsia" w:ascii="仿宋" w:hAnsi="仿宋"/>
        </w:rPr>
        <w:t>书面、电话、互联网、监管机构规定的其他方式，应当明确、全面</w:t>
      </w:r>
    </w:p>
    <w:p>
      <w:pPr>
        <w:spacing w:line="360" w:lineRule="auto"/>
        <w:ind w:firstLine="480" w:firstLineChars="200"/>
        <w:rPr>
          <w:rFonts w:ascii="仿宋" w:hAnsi="仿宋"/>
        </w:rPr>
      </w:pPr>
      <w:r>
        <w:rPr>
          <w:rFonts w:hint="eastAsia" w:ascii="仿宋" w:hAnsi="仿宋"/>
        </w:rPr>
        <w:t>依据：第二十七条</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第二十七条　客户可以通过书面、电话、互联网或者国务院期货监督管理机构规定的其他方式，向期货公司下达交易指令。客户的交易指令应当明确、全面。 </w:t>
      </w:r>
    </w:p>
    <w:p>
      <w:pPr>
        <w:spacing w:line="360" w:lineRule="auto"/>
        <w:ind w:firstLine="480" w:firstLineChars="200"/>
        <w:rPr>
          <w:rFonts w:ascii="仿宋" w:hAnsi="仿宋"/>
        </w:rPr>
      </w:pPr>
      <w:r>
        <w:rPr>
          <w:rFonts w:hint="eastAsia" w:ascii="仿宋" w:hAnsi="仿宋"/>
        </w:rPr>
        <w:t>期货公司不得隐瞒重要事项或者使用其他不正当手段诱骗客户发出交易指令。</w:t>
      </w:r>
    </w:p>
    <w:p>
      <w:pPr>
        <w:pStyle w:val="5"/>
      </w:pPr>
      <w:r>
        <w:rPr>
          <w:rFonts w:hint="eastAsia"/>
        </w:rPr>
        <w:t>12、期货交易保证金不得透支交易、保证金的属性、保证金的用途</w:t>
      </w:r>
    </w:p>
    <w:p>
      <w:pPr>
        <w:spacing w:line="360" w:lineRule="auto"/>
        <w:ind w:firstLine="480" w:firstLineChars="200"/>
        <w:rPr>
          <w:rFonts w:ascii="仿宋" w:hAnsi="仿宋"/>
        </w:rPr>
      </w:pPr>
      <w:r>
        <w:rPr>
          <w:rFonts w:hint="eastAsia" w:ascii="仿宋" w:hAnsi="仿宋"/>
        </w:rPr>
        <w:t>期货公司向客户收取的保证金不得低于交易所标准、客户的保证金属于客户所有、保证金除规定用途外，严禁挪作他用</w:t>
      </w:r>
    </w:p>
    <w:p>
      <w:pPr>
        <w:spacing w:line="360" w:lineRule="auto"/>
        <w:ind w:firstLine="480" w:firstLineChars="200"/>
        <w:rPr>
          <w:rFonts w:ascii="仿宋" w:hAnsi="仿宋"/>
        </w:rPr>
      </w:pPr>
      <w:r>
        <w:rPr>
          <w:rFonts w:hint="eastAsia" w:ascii="仿宋" w:hAnsi="仿宋"/>
        </w:rPr>
        <w:t>依据：第二十九条</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第二十九条　期货交易应当严格执行保证金制度。期货交易所向会员、期货公司向客户收取的保证金，不得低于国务院期货监督管理机构、期货交易所规定的标准，并应当与自有资金分开，专户存放。 </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期货交易所向会员收取的保证金，属于会员所有，除用于会员的交易结算外，严禁挪作他用。 </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期货公司向客户收取的保证金，属于客户所有，除下列可划转的情形外，严禁挪作他用： </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（一）依据客户的要求支付可用资金； </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（二）为客户交存保证金，支付手续费、税款； </w:t>
      </w:r>
    </w:p>
    <w:p>
      <w:pPr>
        <w:spacing w:line="360" w:lineRule="auto"/>
        <w:ind w:firstLine="480" w:firstLineChars="200"/>
        <w:rPr>
          <w:rFonts w:ascii="仿宋" w:hAnsi="仿宋"/>
        </w:rPr>
      </w:pPr>
      <w:r>
        <w:rPr>
          <w:rFonts w:hint="eastAsia" w:ascii="仿宋" w:hAnsi="仿宋"/>
        </w:rPr>
        <w:t>（三）国务院期货监督管理机构规定的其他情形。</w:t>
      </w:r>
    </w:p>
    <w:p>
      <w:pPr>
        <w:pStyle w:val="5"/>
      </w:pPr>
      <w:r>
        <w:rPr>
          <w:rFonts w:hint="eastAsia"/>
        </w:rPr>
        <w:t>13、禁止混码交易</w:t>
      </w:r>
    </w:p>
    <w:p>
      <w:pPr>
        <w:spacing w:line="360" w:lineRule="auto"/>
        <w:ind w:firstLine="480" w:firstLineChars="200"/>
        <w:rPr>
          <w:rFonts w:ascii="仿宋" w:hAnsi="仿宋"/>
        </w:rPr>
      </w:pPr>
      <w:r>
        <w:rPr>
          <w:rFonts w:hint="eastAsia" w:ascii="仿宋" w:hAnsi="仿宋"/>
        </w:rPr>
        <w:t>应当为每一个客户单独开立账户、设置交易编码</w:t>
      </w:r>
    </w:p>
    <w:p>
      <w:pPr>
        <w:spacing w:line="360" w:lineRule="auto"/>
        <w:ind w:firstLine="480" w:firstLineChars="200"/>
        <w:rPr>
          <w:rFonts w:ascii="仿宋" w:hAnsi="仿宋"/>
        </w:rPr>
      </w:pPr>
      <w:r>
        <w:rPr>
          <w:rFonts w:hint="eastAsia" w:ascii="仿宋" w:hAnsi="仿宋"/>
        </w:rPr>
        <w:t>依据：第三十条</w:t>
      </w:r>
    </w:p>
    <w:p>
      <w:pPr>
        <w:spacing w:line="360" w:lineRule="auto"/>
        <w:ind w:firstLine="480" w:firstLineChars="200"/>
        <w:rPr>
          <w:rFonts w:ascii="仿宋" w:hAnsi="仿宋"/>
        </w:rPr>
      </w:pPr>
      <w:r>
        <w:rPr>
          <w:rFonts w:hint="eastAsia" w:ascii="仿宋" w:hAnsi="仿宋"/>
        </w:rPr>
        <w:t>第三十条　期货公司应当为每一个客户单独开立专门账户、设置交易编码，不得混码交易。</w:t>
      </w:r>
    </w:p>
    <w:p>
      <w:pPr>
        <w:pStyle w:val="5"/>
      </w:pPr>
      <w:r>
        <w:rPr>
          <w:rFonts w:hint="eastAsia"/>
        </w:rPr>
        <w:t>14、期货交易的结算制度</w:t>
      </w:r>
    </w:p>
    <w:p>
      <w:pPr>
        <w:spacing w:line="360" w:lineRule="auto"/>
        <w:ind w:firstLine="480" w:firstLineChars="200"/>
        <w:rPr>
          <w:rFonts w:ascii="仿宋" w:hAnsi="仿宋"/>
        </w:rPr>
      </w:pPr>
      <w:r>
        <w:rPr>
          <w:rFonts w:hint="eastAsia" w:ascii="仿宋" w:hAnsi="仿宋"/>
        </w:rPr>
        <w:t>期货交易所及期货公司的当日无负债结算制度</w:t>
      </w:r>
    </w:p>
    <w:p>
      <w:pPr>
        <w:spacing w:line="360" w:lineRule="auto"/>
        <w:ind w:firstLine="480" w:firstLineChars="200"/>
        <w:rPr>
          <w:rFonts w:ascii="仿宋" w:hAnsi="仿宋"/>
        </w:rPr>
      </w:pPr>
      <w:r>
        <w:rPr>
          <w:rFonts w:hint="eastAsia" w:ascii="仿宋" w:hAnsi="仿宋"/>
        </w:rPr>
        <w:t>依据：第三十四条</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第三十四条　期货交易的结算，由期货交易所统一组织进行。 </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期货交易所实行当日无负债结算制度。期货交易所应当在当日及时将结算结果通知会员。 </w:t>
      </w:r>
    </w:p>
    <w:p>
      <w:pPr>
        <w:spacing w:line="360" w:lineRule="auto"/>
        <w:ind w:firstLine="480" w:firstLineChars="200"/>
        <w:rPr>
          <w:rFonts w:ascii="仿宋" w:hAnsi="仿宋"/>
        </w:rPr>
      </w:pPr>
      <w:r>
        <w:rPr>
          <w:rFonts w:hint="eastAsia" w:ascii="仿宋" w:hAnsi="仿宋"/>
        </w:rPr>
        <w:t>期货公司根据期货交易所的结算结果对客户进行结算，并应当将结算结果按照与客户约定的方式及时通知客户。客户应当及时查询并妥善处理自己的交易持仓。</w:t>
      </w:r>
    </w:p>
    <w:p>
      <w:pPr>
        <w:spacing w:line="360" w:lineRule="auto"/>
        <w:ind w:firstLine="480" w:firstLineChars="200"/>
        <w:rPr>
          <w:rFonts w:ascii="仿宋" w:hAnsi="仿宋"/>
        </w:rPr>
      </w:pPr>
    </w:p>
    <w:p>
      <w:pPr>
        <w:pStyle w:val="5"/>
      </w:pPr>
      <w:r>
        <w:rPr>
          <w:rFonts w:hint="eastAsia"/>
        </w:rPr>
        <w:t>15、强行平仓的义务性规定</w:t>
      </w:r>
    </w:p>
    <w:p>
      <w:pPr>
        <w:spacing w:line="360" w:lineRule="auto"/>
        <w:ind w:firstLine="480" w:firstLineChars="200"/>
        <w:rPr>
          <w:rFonts w:ascii="仿宋" w:hAnsi="仿宋"/>
        </w:rPr>
      </w:pPr>
      <w:r>
        <w:rPr>
          <w:rFonts w:hint="eastAsia" w:ascii="仿宋" w:hAnsi="仿宋"/>
        </w:rPr>
        <w:t>期货交易所对公司强行平仓义务、公司对客户强行平仓义务</w:t>
      </w:r>
    </w:p>
    <w:p>
      <w:pPr>
        <w:spacing w:line="360" w:lineRule="auto"/>
        <w:ind w:firstLine="480" w:firstLineChars="200"/>
        <w:rPr>
          <w:rFonts w:ascii="仿宋" w:hAnsi="仿宋"/>
        </w:rPr>
      </w:pPr>
      <w:r>
        <w:rPr>
          <w:rFonts w:hint="eastAsia" w:ascii="仿宋" w:hAnsi="仿宋"/>
        </w:rPr>
        <w:t>依据：第三十五条</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第三十五条　期货交易所会员的保证金不足时，应当及时追加保证金或者自行平仓。会员未在期货交易所规定的时间内追加保证金或者自行平仓的，期货交易所应当将该会员的合约强行平仓，强行平仓的有关费用和发生的损失由该会员承担。 </w:t>
      </w:r>
    </w:p>
    <w:p>
      <w:pPr>
        <w:spacing w:line="360" w:lineRule="auto"/>
        <w:ind w:firstLine="480" w:firstLineChars="200"/>
        <w:rPr>
          <w:rFonts w:ascii="仿宋" w:hAnsi="仿宋"/>
        </w:rPr>
      </w:pPr>
      <w:r>
        <w:rPr>
          <w:rFonts w:hint="eastAsia" w:ascii="仿宋" w:hAnsi="仿宋"/>
        </w:rPr>
        <w:t>客户保证金不足时，应当及时追加保证金或者自行平仓。客户未在期货公司规定的时间内及时追加保证金或者自行平仓的，期货公司应当将该客户的合约强行平仓，强行平仓的有关费用和发生的损失由该客户承担。</w:t>
      </w:r>
    </w:p>
    <w:p>
      <w:pPr>
        <w:pStyle w:val="5"/>
      </w:pPr>
      <w:r>
        <w:rPr>
          <w:rFonts w:hint="eastAsia"/>
        </w:rPr>
        <w:t>16、交割的规定</w:t>
      </w:r>
    </w:p>
    <w:p>
      <w:pPr>
        <w:spacing w:line="360" w:lineRule="auto"/>
        <w:ind w:firstLine="480" w:firstLineChars="200"/>
        <w:rPr>
          <w:rFonts w:ascii="仿宋" w:hAnsi="仿宋"/>
        </w:rPr>
      </w:pPr>
      <w:r>
        <w:rPr>
          <w:rFonts w:hint="eastAsia" w:ascii="仿宋" w:hAnsi="仿宋"/>
        </w:rPr>
        <w:t>交易所统一组织、仓库由交易所指定、不得限制交割总量、应当与交割仓库协议</w:t>
      </w:r>
    </w:p>
    <w:p>
      <w:pPr>
        <w:spacing w:line="360" w:lineRule="auto"/>
        <w:ind w:firstLine="480" w:firstLineChars="200"/>
        <w:rPr>
          <w:rFonts w:ascii="仿宋" w:hAnsi="仿宋"/>
        </w:rPr>
      </w:pPr>
      <w:r>
        <w:rPr>
          <w:rFonts w:hint="eastAsia" w:ascii="仿宋" w:hAnsi="仿宋"/>
        </w:rPr>
        <w:t>依据：第三十六条</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第三十六条　期货交易的交割，由期货交易所统一组织进行。 </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交割仓库由期货交易所指定。期货交易所不得限制实物交割总量，并应当与交割仓库签订协议，明确双方的权利和义务。交割仓库不得有下列行为： </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（一）出具虚假仓单； </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（二）违反期货交易所业务规则，限制交割商品的入库、出库； </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（三）泄露与期货交易有关的商业秘密； </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（四）违反国家有关规定参与期货交易； </w:t>
      </w:r>
    </w:p>
    <w:p>
      <w:pPr>
        <w:spacing w:line="360" w:lineRule="auto"/>
        <w:ind w:firstLine="480" w:firstLineChars="200"/>
        <w:rPr>
          <w:rFonts w:ascii="仿宋" w:hAnsi="仿宋"/>
        </w:rPr>
      </w:pPr>
      <w:r>
        <w:rPr>
          <w:rFonts w:hint="eastAsia" w:ascii="仿宋" w:hAnsi="仿宋"/>
        </w:rPr>
        <w:t>（五）国务院期货监督管理机构规定的其他行为。</w:t>
      </w:r>
    </w:p>
    <w:p>
      <w:pPr>
        <w:pStyle w:val="5"/>
      </w:pPr>
      <w:r>
        <w:rPr>
          <w:rFonts w:hint="eastAsia"/>
        </w:rPr>
        <w:t>17、期货交易中承担违约责任的顺序</w:t>
      </w:r>
    </w:p>
    <w:p>
      <w:pPr>
        <w:spacing w:line="360" w:lineRule="auto"/>
        <w:ind w:firstLine="480" w:firstLineChars="200"/>
        <w:rPr>
          <w:rFonts w:ascii="仿宋" w:hAnsi="仿宋"/>
        </w:rPr>
      </w:pPr>
      <w:r>
        <w:rPr>
          <w:rFonts w:hint="eastAsia" w:ascii="仿宋" w:hAnsi="仿宋"/>
        </w:rPr>
        <w:t>会员违约的责任承担顺序、客户违约的责任承担顺序</w:t>
      </w:r>
    </w:p>
    <w:p>
      <w:pPr>
        <w:spacing w:line="360" w:lineRule="auto"/>
        <w:ind w:firstLine="480" w:firstLineChars="200"/>
        <w:rPr>
          <w:rFonts w:ascii="仿宋" w:hAnsi="仿宋"/>
        </w:rPr>
      </w:pPr>
      <w:r>
        <w:rPr>
          <w:rFonts w:hint="eastAsia" w:ascii="仿宋" w:hAnsi="仿宋"/>
        </w:rPr>
        <w:t>依据：第三十七条</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第三十七条 会员在期货交易中违约的，期货交易所先以该会员的保证金承担违约责任；保证金不足的，期货交易所应当以风险准备金和自有资金代为承担违约责任，并由此取得对该会员的相应追偿权。 </w:t>
      </w:r>
    </w:p>
    <w:p>
      <w:pPr>
        <w:spacing w:line="360" w:lineRule="auto"/>
        <w:ind w:firstLine="480" w:firstLineChars="200"/>
        <w:rPr>
          <w:rFonts w:ascii="仿宋" w:hAnsi="仿宋"/>
        </w:rPr>
      </w:pPr>
      <w:r>
        <w:rPr>
          <w:rFonts w:hint="eastAsia" w:ascii="仿宋" w:hAnsi="仿宋"/>
        </w:rPr>
        <w:t>客户在期货交易中违约的，期货公司先以该客户的保证金承担违约责任；保证金不足的，期货公司应当以风险准备金和自有资金代为承担违约责任，并由此取得对该客户的相应追偿权。</w:t>
      </w:r>
    </w:p>
    <w:p>
      <w:pPr>
        <w:pStyle w:val="5"/>
      </w:pPr>
      <w:r>
        <w:rPr>
          <w:rFonts w:hint="eastAsia"/>
        </w:rPr>
        <w:t>18、实行会员分级结算制度的交易所的结算处理方式</w:t>
      </w:r>
    </w:p>
    <w:p>
      <w:pPr>
        <w:spacing w:line="360" w:lineRule="auto"/>
        <w:ind w:firstLine="480" w:firstLineChars="200"/>
        <w:rPr>
          <w:rFonts w:ascii="仿宋" w:hAnsi="仿宋"/>
        </w:rPr>
      </w:pPr>
      <w:r>
        <w:rPr>
          <w:rFonts w:hint="eastAsia" w:ascii="仿宋" w:hAnsi="仿宋"/>
        </w:rPr>
        <w:t>结算担保金制度，会员分级结算及控制风险</w:t>
      </w:r>
    </w:p>
    <w:p>
      <w:pPr>
        <w:spacing w:line="360" w:lineRule="auto"/>
        <w:ind w:firstLine="480" w:firstLineChars="200"/>
        <w:rPr>
          <w:rFonts w:ascii="仿宋" w:hAnsi="仿宋"/>
        </w:rPr>
      </w:pPr>
      <w:r>
        <w:rPr>
          <w:rFonts w:hint="eastAsia" w:ascii="仿宋" w:hAnsi="仿宋"/>
        </w:rPr>
        <w:t>依据：第三十八条</w:t>
      </w:r>
    </w:p>
    <w:p>
      <w:pPr>
        <w:spacing w:line="360" w:lineRule="auto"/>
        <w:ind w:firstLine="480" w:firstLineChars="200"/>
        <w:rPr>
          <w:rFonts w:ascii="仿宋" w:hAnsi="仿宋"/>
        </w:rPr>
      </w:pPr>
      <w:r>
        <w:rPr>
          <w:rFonts w:hint="eastAsia" w:ascii="仿宋" w:hAnsi="仿宋"/>
        </w:rPr>
        <w:t>第三十八条 实行会员分级结算制度的期货交易所，应当向结算会员收取结算担保金。期货交易所只对结算会员结算，收取和追收保证金，以结算担保金、风险准备金、自有资金代为承担违约责任，以及采取其他相关措施；对非结算会员的结算、收取和追收保证金、代为承担违约责任，以及采取其他相关措施，由结算会员执行。</w:t>
      </w:r>
    </w:p>
    <w:p>
      <w:pPr>
        <w:pStyle w:val="5"/>
      </w:pPr>
      <w:r>
        <w:rPr>
          <w:rFonts w:hint="eastAsia"/>
        </w:rPr>
        <w:t>19、期货业协会的性质与职责</w:t>
      </w:r>
    </w:p>
    <w:p>
      <w:pPr>
        <w:spacing w:line="360" w:lineRule="auto"/>
        <w:ind w:firstLine="480" w:firstLineChars="200"/>
        <w:rPr>
          <w:rFonts w:ascii="仿宋" w:hAnsi="仿宋"/>
        </w:rPr>
      </w:pPr>
      <w:r>
        <w:rPr>
          <w:rFonts w:hint="eastAsia" w:ascii="仿宋" w:hAnsi="仿宋"/>
        </w:rPr>
        <w:t>自律性组织、社团法人</w:t>
      </w:r>
    </w:p>
    <w:p>
      <w:pPr>
        <w:spacing w:line="360" w:lineRule="auto"/>
        <w:ind w:firstLine="480" w:firstLineChars="200"/>
        <w:rPr>
          <w:rFonts w:ascii="仿宋" w:hAnsi="仿宋"/>
        </w:rPr>
      </w:pPr>
      <w:r>
        <w:rPr>
          <w:rFonts w:hint="eastAsia" w:ascii="仿宋" w:hAnsi="仿宋"/>
        </w:rPr>
        <w:t>依据：第四十四条、第四十六条</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第四十四条　期货业协会是期货业的自律性组织，是社会团体法人。 </w:t>
      </w:r>
    </w:p>
    <w:p>
      <w:pPr>
        <w:spacing w:line="360" w:lineRule="auto"/>
        <w:ind w:firstLine="480" w:firstLineChars="200"/>
        <w:rPr>
          <w:rFonts w:ascii="仿宋" w:hAnsi="仿宋"/>
        </w:rPr>
      </w:pPr>
      <w:r>
        <w:rPr>
          <w:rFonts w:hint="eastAsia" w:ascii="仿宋" w:hAnsi="仿宋"/>
        </w:rPr>
        <w:t>期货公司以及其他专门从事期货经营的机构应当加入期货业协会，并缴纳会员费。</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第四十六条　期货业协会履行下列职责： </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（一）教育和组织会员遵守期货法律法规和政策； </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（二）制定会员应当遵守的行业自律性规则，监督、检查会员行为，对违反协会章程和自律性规则的，按照规定给予纪律处分； </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（三）负责期货从业人员资格的认定、管理以及撤销工作； </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（四）受理客户与期货业务有关的投诉，对会员之间、会员与客户之间发生的纠纷进行调解； </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（五）依法维护会员的合法权益，向国务院期货监督管理机构反映会员的建议和要求； </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（六）组织期货从业人员的业务培训，开展会员间的业务交流； </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（七）组织会员就期货业的发展、运作以及有关内容进行研究； </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（八）期货业协会章程规定的其他职责。 </w:t>
      </w:r>
    </w:p>
    <w:p>
      <w:pPr>
        <w:spacing w:line="360" w:lineRule="auto"/>
        <w:ind w:firstLine="480" w:firstLineChars="200"/>
        <w:rPr>
          <w:rFonts w:ascii="仿宋" w:hAnsi="仿宋"/>
        </w:rPr>
      </w:pPr>
      <w:r>
        <w:rPr>
          <w:rFonts w:hint="eastAsia" w:ascii="仿宋" w:hAnsi="仿宋"/>
        </w:rPr>
        <w:t>期货业协会的业务活动应当接受国务院期货监督管理机构的指导和监督。</w:t>
      </w:r>
    </w:p>
    <w:p>
      <w:pPr>
        <w:pStyle w:val="5"/>
      </w:pPr>
      <w:r>
        <w:rPr>
          <w:rFonts w:hint="eastAsia"/>
        </w:rPr>
        <w:t>20、期货公司不符合持续性经营规则或出现经营风险的，监管机构可以采取的监管措施</w:t>
      </w:r>
    </w:p>
    <w:p>
      <w:pPr>
        <w:spacing w:line="360" w:lineRule="auto"/>
        <w:ind w:firstLine="480" w:firstLineChars="200"/>
        <w:rPr>
          <w:rFonts w:ascii="仿宋" w:hAnsi="仿宋"/>
        </w:rPr>
      </w:pPr>
      <w:r>
        <w:rPr>
          <w:rFonts w:hint="eastAsia" w:ascii="仿宋" w:hAnsi="仿宋"/>
        </w:rPr>
        <w:t>谈话、提示、记入信用记录，限期整改</w:t>
      </w:r>
    </w:p>
    <w:p>
      <w:pPr>
        <w:spacing w:line="360" w:lineRule="auto"/>
        <w:ind w:firstLine="480" w:firstLineChars="200"/>
        <w:rPr>
          <w:rFonts w:ascii="仿宋" w:hAnsi="仿宋"/>
        </w:rPr>
      </w:pPr>
      <w:r>
        <w:rPr>
          <w:rFonts w:hint="eastAsia" w:ascii="仿宋" w:hAnsi="仿宋"/>
        </w:rPr>
        <w:t>依据：第五十六条</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第五十六条　期货公司及其分支机构不符合持续性经营规则或者出现经营风险的，国务院期货监督管理机构可以对期货公司及其董事、监事和高级管理人员采取谈话、提示、记入信用记录等监管措施或者责令期货公司限期整改，并对其整改情况进行检查验收。 </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期货公司逾期未改正，其行为严重危及期货公司的稳健运行、损害客户合法权益，或者涉嫌严重违法违规正在被国务院期货监督管理机构调查的，国务院期货监督管理机构可以区别情形，对其采取下列措施： </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（一）限制或者暂停部分期货业务； </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（二）停止批准新增业务或者分支机构； </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（三）限制分配红利，限制向董事、监事、高级管理人员支付报酬、提供福利； </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（四）限制转让财产或者在财产上设定其他权利； </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（五）责令更换董事、监事、高级管理人员或者有关业务部门、分支机构的负责人员，或者限制其权利； </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（六）限制期货公司自有资金或者风险准备金的调拨和使用； </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（七）责令控股股东转让股权或者限制有关股东行使股东权利。 </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对经过整改符合有关法律、行政法规规定以及持续性经营规则要求的期货公司，国务院期货监督管理机构应当自验收完毕之日起3日内解除对其采取的有关措施。 </w:t>
      </w:r>
    </w:p>
    <w:p>
      <w:pPr>
        <w:spacing w:line="360" w:lineRule="auto"/>
        <w:ind w:firstLine="480" w:firstLineChars="200"/>
        <w:rPr>
          <w:rFonts w:ascii="仿宋" w:hAnsi="仿宋"/>
        </w:rPr>
      </w:pPr>
      <w:r>
        <w:rPr>
          <w:rFonts w:hint="eastAsia" w:ascii="仿宋" w:hAnsi="仿宋"/>
        </w:rPr>
        <w:t>对经过整改仍未达到持续性经营规则要求，严重影响正常经营的期货公司，国务院期货监督管理机构有权撤销其部分或者全部期货业务许可、关闭其分支机构。</w:t>
      </w:r>
    </w:p>
    <w:p>
      <w:pPr>
        <w:pStyle w:val="5"/>
      </w:pPr>
      <w:r>
        <w:rPr>
          <w:rFonts w:hint="eastAsia"/>
        </w:rPr>
        <w:t>21、期货公司逾期未整改，监管机构可以采取的监管措施</w:t>
      </w:r>
    </w:p>
    <w:p>
      <w:pPr>
        <w:widowControl/>
        <w:shd w:val="clear" w:color="auto" w:fill="FFFFFF"/>
        <w:spacing w:line="360" w:lineRule="auto"/>
        <w:ind w:firstLine="480" w:firstLineChars="200"/>
        <w:jc w:val="left"/>
        <w:rPr>
          <w:rFonts w:ascii="仿宋" w:hAnsi="仿宋" w:cs="宋体"/>
          <w:kern w:val="0"/>
        </w:rPr>
      </w:pPr>
      <w:r>
        <w:rPr>
          <w:rFonts w:hint="eastAsia" w:ascii="仿宋" w:hAnsi="仿宋" w:cs="宋体"/>
          <w:kern w:val="0"/>
        </w:rPr>
        <w:t xml:space="preserve">（一）限制或者暂停部分期货业务； </w:t>
      </w:r>
    </w:p>
    <w:p>
      <w:pPr>
        <w:widowControl/>
        <w:shd w:val="clear" w:color="auto" w:fill="FFFFFF"/>
        <w:spacing w:line="360" w:lineRule="auto"/>
        <w:ind w:firstLine="480" w:firstLineChars="200"/>
        <w:jc w:val="left"/>
        <w:rPr>
          <w:rFonts w:ascii="仿宋" w:hAnsi="仿宋" w:cs="宋体"/>
          <w:kern w:val="0"/>
        </w:rPr>
      </w:pPr>
      <w:r>
        <w:rPr>
          <w:rFonts w:hint="eastAsia" w:ascii="仿宋" w:hAnsi="仿宋" w:cs="宋体"/>
          <w:kern w:val="0"/>
        </w:rPr>
        <w:t xml:space="preserve">（二）停止批准新增业务或者分支机构； </w:t>
      </w:r>
    </w:p>
    <w:p>
      <w:pPr>
        <w:widowControl/>
        <w:shd w:val="clear" w:color="auto" w:fill="FFFFFF"/>
        <w:spacing w:line="360" w:lineRule="auto"/>
        <w:ind w:firstLine="480" w:firstLineChars="200"/>
        <w:jc w:val="left"/>
        <w:rPr>
          <w:rFonts w:ascii="仿宋" w:hAnsi="仿宋" w:cs="宋体"/>
          <w:kern w:val="0"/>
        </w:rPr>
      </w:pPr>
      <w:r>
        <w:rPr>
          <w:rFonts w:hint="eastAsia" w:ascii="仿宋" w:hAnsi="仿宋" w:cs="宋体"/>
          <w:kern w:val="0"/>
        </w:rPr>
        <w:t>（三）限制分配红利，限制向董事、监事、高级管理人员支付报酬、提供福利；</w:t>
      </w:r>
    </w:p>
    <w:p>
      <w:pPr>
        <w:widowControl/>
        <w:shd w:val="clear" w:color="auto" w:fill="FFFFFF"/>
        <w:spacing w:line="360" w:lineRule="auto"/>
        <w:ind w:firstLine="480" w:firstLineChars="200"/>
        <w:jc w:val="left"/>
        <w:rPr>
          <w:rFonts w:ascii="仿宋" w:hAnsi="仿宋" w:cs="宋体"/>
          <w:kern w:val="0"/>
        </w:rPr>
      </w:pPr>
      <w:r>
        <w:rPr>
          <w:rFonts w:hint="eastAsia" w:ascii="仿宋" w:hAnsi="仿宋" w:cs="宋体"/>
          <w:kern w:val="0"/>
        </w:rPr>
        <w:t xml:space="preserve">（四）限制转让财产或者在财产上设定其他权利； </w:t>
      </w:r>
    </w:p>
    <w:p>
      <w:pPr>
        <w:widowControl/>
        <w:shd w:val="clear" w:color="auto" w:fill="FFFFFF"/>
        <w:spacing w:line="360" w:lineRule="auto"/>
        <w:ind w:firstLine="480" w:firstLineChars="200"/>
        <w:jc w:val="left"/>
        <w:rPr>
          <w:rFonts w:ascii="仿宋" w:hAnsi="仿宋" w:cs="宋体"/>
          <w:kern w:val="0"/>
        </w:rPr>
      </w:pPr>
      <w:r>
        <w:rPr>
          <w:rFonts w:hint="eastAsia" w:ascii="仿宋" w:hAnsi="仿宋" w:cs="宋体"/>
          <w:kern w:val="0"/>
        </w:rPr>
        <w:t xml:space="preserve">（五）责令更换董事、监事、高级管理人员或者有关业务部门、分支机构的负责人员，或者限制其权利； </w:t>
      </w:r>
    </w:p>
    <w:p>
      <w:pPr>
        <w:widowControl/>
        <w:shd w:val="clear" w:color="auto" w:fill="FFFFFF"/>
        <w:spacing w:line="360" w:lineRule="auto"/>
        <w:ind w:firstLine="480" w:firstLineChars="200"/>
        <w:jc w:val="left"/>
        <w:rPr>
          <w:rFonts w:ascii="仿宋" w:hAnsi="仿宋" w:cs="宋体"/>
          <w:kern w:val="0"/>
        </w:rPr>
      </w:pPr>
      <w:r>
        <w:rPr>
          <w:rFonts w:hint="eastAsia" w:ascii="仿宋" w:hAnsi="仿宋" w:cs="宋体"/>
          <w:kern w:val="0"/>
        </w:rPr>
        <w:t xml:space="preserve">（六）限制期货公司自有资金或者风险准备金的调拨和使用； </w:t>
      </w:r>
    </w:p>
    <w:p>
      <w:pPr>
        <w:widowControl/>
        <w:shd w:val="clear" w:color="auto" w:fill="FFFFFF"/>
        <w:spacing w:line="360" w:lineRule="auto"/>
        <w:ind w:firstLine="480" w:firstLineChars="200"/>
        <w:jc w:val="left"/>
        <w:rPr>
          <w:rFonts w:ascii="仿宋" w:hAnsi="仿宋" w:cs="宋体"/>
          <w:kern w:val="0"/>
        </w:rPr>
      </w:pPr>
      <w:r>
        <w:rPr>
          <w:rFonts w:hint="eastAsia" w:ascii="仿宋" w:hAnsi="仿宋" w:cs="宋体"/>
          <w:kern w:val="0"/>
        </w:rPr>
        <w:t xml:space="preserve">（七）责令控股股东转让股权或者限制有关股东行使股东权利。 </w:t>
      </w:r>
    </w:p>
    <w:p>
      <w:pPr>
        <w:spacing w:line="360" w:lineRule="auto"/>
        <w:ind w:firstLine="480" w:firstLineChars="200"/>
        <w:rPr>
          <w:rFonts w:ascii="仿宋" w:hAnsi="仿宋"/>
        </w:rPr>
      </w:pPr>
      <w:r>
        <w:rPr>
          <w:rFonts w:hint="eastAsia" w:ascii="仿宋" w:hAnsi="仿宋"/>
        </w:rPr>
        <w:t>依据：第五十六条</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第五十六条　期货公司及其分支机构不符合持续性经营规则或者出现经营风险的，国务院期货监督管理机构可以对期货公司及其董事、监事和高级管理人员采取谈话、提示、记入信用记录等监管措施或者责令期货公司限期整改，并对其整改情况进行检查验收。 </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期货公司逾期未改正，其行为严重危及期货公司的稳健运行、损害客户合法权益，或者涉嫌严重违法违规正在被国务院期货监督管理机构调查的，国务院期货监督管理机构可以区别情形，对其采取下列措施： </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（一）限制或者暂停部分期货业务； </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（二）停止批准新增业务或者分支机构； </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（三）限制分配红利，限制向董事、监事、高级管理人员支付报酬、提供福利； </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（四）限制转让财产或者在财产上设定其他权利； </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（五）责令更换董事、监事、高级管理人员或者有关业务部门、分支机构的负责人员，或者限制其权利； </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（六）限制期货公司自有资金或者风险准备金的调拨和使用； </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（七）责令控股股东转让股权或者限制有关股东行使股东权利。 </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对经过整改符合有关法律、行政法规规定以及持续性经营规则要求的期货公司，国务院期货监督管理机构应当自验收完毕之日起3日内解除对其采取的有关措施。 </w:t>
      </w:r>
    </w:p>
    <w:p>
      <w:pPr>
        <w:spacing w:line="360" w:lineRule="auto"/>
        <w:ind w:firstLine="480" w:firstLineChars="200"/>
        <w:rPr>
          <w:rFonts w:ascii="仿宋" w:hAnsi="仿宋"/>
        </w:rPr>
      </w:pPr>
      <w:r>
        <w:rPr>
          <w:rFonts w:hint="eastAsia" w:ascii="仿宋" w:hAnsi="仿宋"/>
        </w:rPr>
        <w:t>对经过整改仍未达到持续性经营规则要求，严重影响正常经营的期货公司，国务院期货监督管理机构有权撤销其部分或者全部期货业务许可、关闭其分支机构。</w:t>
      </w:r>
    </w:p>
    <w:p>
      <w:pPr>
        <w:pStyle w:val="5"/>
      </w:pPr>
      <w:r>
        <w:rPr>
          <w:rFonts w:hint="eastAsia"/>
        </w:rPr>
        <w:t>22、期货公司整改后仍未达到持续性经营规则要求的，监管机构可以采取的监管措施</w:t>
      </w:r>
    </w:p>
    <w:p>
      <w:pPr>
        <w:spacing w:line="360" w:lineRule="auto"/>
        <w:ind w:firstLine="480" w:firstLineChars="200"/>
        <w:rPr>
          <w:rFonts w:ascii="仿宋" w:hAnsi="仿宋"/>
        </w:rPr>
      </w:pPr>
      <w:r>
        <w:rPr>
          <w:rFonts w:hint="eastAsia" w:ascii="仿宋" w:hAnsi="仿宋"/>
        </w:rPr>
        <w:t xml:space="preserve">撤销其部分或者全部期货业务许可、关闭其分支机构 </w:t>
      </w:r>
    </w:p>
    <w:p>
      <w:pPr>
        <w:spacing w:line="360" w:lineRule="auto"/>
        <w:ind w:firstLine="480" w:firstLineChars="200"/>
        <w:rPr>
          <w:rFonts w:ascii="仿宋" w:hAnsi="仿宋"/>
        </w:rPr>
      </w:pPr>
      <w:r>
        <w:rPr>
          <w:rFonts w:hint="eastAsia" w:ascii="仿宋" w:hAnsi="仿宋"/>
        </w:rPr>
        <w:t>依据：第五十六条第4款</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第五十六条　期货公司及其分支机构不符合持续性经营规则或者出现经营风险的，国务院期货监督管理机构可以对期货公司及其董事、监事和高级管理人员采取谈话、提示、记入信用记录等监管措施或者责令期货公司限期整改，并对其整改情况进行检查验收。 </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期货公司逾期未改正，其行为严重危及期货公司的稳健运行、损害客户合法权益，或者涉嫌严重违法违规正在被国务院期货监督管理机构调查的，国务院期货监督管理机构可以区别情形，对其采取下列措施： </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（一）限制或者暂停部分期货业务； </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（二）停止批准新增业务或者分支机构； </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（三）限制分配红利，限制向董事、监事、高级管理人员支付报酬、提供福利； </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（四）限制转让财产或者在财产上设定其他权利； </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（五）责令更换董事、监事、高级管理人员或者有关业务部门、分支机构的负责人员，或者限制其权利； </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（六）限制期货公司自有资金或者风险准备金的调拨和使用； </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（七）责令控股股东转让股权或者限制有关股东行使股东权利。 </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对经过整改符合有关法律、行政法规规定以及持续性经营规则要求的期货公司，国务院期货监督管理机构应当自验收完毕之日起3日内解除对其采取的有关措施。 </w:t>
      </w:r>
    </w:p>
    <w:p>
      <w:pPr>
        <w:spacing w:line="360" w:lineRule="auto"/>
        <w:ind w:firstLine="480" w:firstLineChars="200"/>
        <w:rPr>
          <w:rFonts w:ascii="仿宋" w:hAnsi="仿宋"/>
        </w:rPr>
      </w:pPr>
      <w:r>
        <w:rPr>
          <w:rFonts w:hint="eastAsia" w:ascii="仿宋" w:hAnsi="仿宋"/>
        </w:rPr>
        <w:t>对经过整改仍未达到持续性经营规则要求，严重影响正常经营的期货公司，国务院期货监督管理机构有权撤销其部分或者全部期货业务许可、关闭其分支机构。</w:t>
      </w:r>
    </w:p>
    <w:p>
      <w:pPr>
        <w:pStyle w:val="5"/>
      </w:pPr>
      <w:r>
        <w:rPr>
          <w:rFonts w:hint="eastAsia"/>
        </w:rPr>
        <w:t>23、期货公司违法经营或者出现重大风险，监管机构可以对董、监、高采取的措施</w:t>
      </w:r>
    </w:p>
    <w:p>
      <w:pPr>
        <w:spacing w:line="360" w:lineRule="auto"/>
        <w:ind w:firstLine="480" w:firstLineChars="200"/>
        <w:rPr>
          <w:rFonts w:ascii="仿宋" w:hAnsi="仿宋"/>
        </w:rPr>
      </w:pPr>
      <w:r>
        <w:rPr>
          <w:rFonts w:hint="eastAsia" w:ascii="仿宋" w:hAnsi="仿宋"/>
        </w:rPr>
        <w:t>限制出境，申请司法机关限制其资产</w:t>
      </w:r>
    </w:p>
    <w:p>
      <w:pPr>
        <w:spacing w:line="360" w:lineRule="auto"/>
        <w:ind w:firstLine="480" w:firstLineChars="200"/>
        <w:rPr>
          <w:rFonts w:ascii="仿宋" w:hAnsi="仿宋"/>
        </w:rPr>
      </w:pPr>
      <w:r>
        <w:rPr>
          <w:rFonts w:hint="eastAsia" w:ascii="仿宋" w:hAnsi="仿宋"/>
        </w:rPr>
        <w:t>依据：第五十七条</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第五十七条　期货公司违法经营或者出现重大风险，严重危害期货市场秩序、损害客户利益的，国务院期货监督管理机构可以对该期货公司采取责令停业整顿、指定其他机构托管或者接管等监管措施。经国务院期货监督管理机构批准，可以对该期货公司直接负责的董事、监事、高级管理人员和其他直接责任人员采取以下措施： </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（一）通知出境管理机关依法阻止其出境； </w:t>
      </w:r>
    </w:p>
    <w:p>
      <w:pPr>
        <w:spacing w:line="360" w:lineRule="auto"/>
        <w:ind w:firstLine="480" w:firstLineChars="200"/>
        <w:rPr>
          <w:rFonts w:ascii="仿宋" w:hAnsi="仿宋"/>
        </w:rPr>
      </w:pPr>
      <w:r>
        <w:rPr>
          <w:rFonts w:hint="eastAsia" w:ascii="仿宋" w:hAnsi="仿宋"/>
        </w:rPr>
        <w:t>（二）申请司法机关禁止其转移、转让或者以其他方式处分财产，或者在财产上设定其他权利。</w:t>
      </w:r>
    </w:p>
    <w:p>
      <w:pPr>
        <w:pStyle w:val="5"/>
      </w:pPr>
      <w:r>
        <w:rPr>
          <w:rFonts w:hint="eastAsia"/>
        </w:rPr>
        <w:t>24、期货公司股东不得虚假出资、抽逃出资</w:t>
      </w:r>
    </w:p>
    <w:p>
      <w:pPr>
        <w:spacing w:line="360" w:lineRule="auto"/>
        <w:ind w:firstLine="480" w:firstLineChars="200"/>
        <w:rPr>
          <w:rFonts w:ascii="仿宋" w:hAnsi="仿宋"/>
        </w:rPr>
      </w:pPr>
      <w:r>
        <w:rPr>
          <w:rFonts w:hint="eastAsia" w:ascii="仿宋" w:hAnsi="仿宋"/>
        </w:rPr>
        <w:t>不得虚假出资、抽逃出资行为</w:t>
      </w:r>
    </w:p>
    <w:p>
      <w:pPr>
        <w:spacing w:line="360" w:lineRule="auto"/>
        <w:ind w:firstLine="480" w:firstLineChars="200"/>
        <w:rPr>
          <w:rFonts w:ascii="仿宋" w:hAnsi="仿宋"/>
        </w:rPr>
      </w:pPr>
      <w:r>
        <w:rPr>
          <w:rFonts w:hint="eastAsia" w:ascii="仿宋" w:hAnsi="仿宋"/>
        </w:rPr>
        <w:t>依据：第五十八条</w:t>
      </w:r>
    </w:p>
    <w:p>
      <w:pPr>
        <w:pStyle w:val="38"/>
        <w:shd w:val="clear" w:color="auto" w:fill="FFFFFF"/>
        <w:spacing w:before="0" w:beforeAutospacing="0" w:after="0" w:afterAutospacing="0" w:line="360" w:lineRule="auto"/>
        <w:ind w:firstLine="480" w:firstLineChars="200"/>
        <w:rPr>
          <w:rFonts w:ascii="仿宋" w:hAnsi="仿宋"/>
        </w:rPr>
      </w:pPr>
      <w:r>
        <w:rPr>
          <w:rFonts w:hint="eastAsia" w:ascii="仿宋" w:hAnsi="仿宋"/>
        </w:rPr>
        <w:t xml:space="preserve">第五十八条　期货公司的股东有虚假出资或者抽逃出资行为的，国务院期货监督管理机构应当责令其限期改正，并可责令其转让所持期货公司的股权。 </w:t>
      </w:r>
    </w:p>
    <w:p>
      <w:pPr>
        <w:spacing w:line="360" w:lineRule="auto"/>
        <w:ind w:firstLine="480" w:firstLineChars="200"/>
        <w:rPr>
          <w:rFonts w:ascii="仿宋" w:hAnsi="仿宋"/>
        </w:rPr>
      </w:pPr>
      <w:r>
        <w:rPr>
          <w:rFonts w:hint="eastAsia" w:ascii="仿宋" w:hAnsi="仿宋"/>
        </w:rPr>
        <w:t>在股东按照前款要求改正违法行为、转让所持期货公司的股权前，国务院期货监督管理机构可以限制其股东权利。</w:t>
      </w:r>
    </w:p>
    <w:p>
      <w:pPr>
        <w:pStyle w:val="3"/>
        <w:rPr>
          <w:sz w:val="24"/>
          <w:szCs w:val="24"/>
        </w:rPr>
      </w:pPr>
      <w:bookmarkStart w:id="125" w:name="_Toc3896723"/>
      <w:bookmarkStart w:id="126" w:name="_Toc404963363"/>
      <w:bookmarkStart w:id="127" w:name="_Toc445043899"/>
      <w:r>
        <w:rPr>
          <w:rFonts w:hint="eastAsia"/>
          <w:sz w:val="24"/>
          <w:szCs w:val="24"/>
        </w:rPr>
        <w:t>二、部门规章与规范性文件</w:t>
      </w:r>
      <w:bookmarkEnd w:id="125"/>
      <w:bookmarkEnd w:id="126"/>
      <w:bookmarkEnd w:id="127"/>
    </w:p>
    <w:p>
      <w:pPr>
        <w:pStyle w:val="4"/>
        <w:rPr>
          <w:rFonts w:ascii="仿宋" w:hAnsi="仿宋"/>
          <w:szCs w:val="24"/>
        </w:rPr>
      </w:pPr>
      <w:bookmarkStart w:id="128" w:name="_Toc404963364"/>
      <w:bookmarkStart w:id="129" w:name="_Toc3896724"/>
      <w:bookmarkStart w:id="130" w:name="_Toc445043900"/>
      <w:r>
        <w:rPr>
          <w:rFonts w:hint="eastAsia" w:ascii="仿宋" w:hAnsi="仿宋"/>
          <w:szCs w:val="24"/>
        </w:rPr>
        <w:t>（一）《期货交易所管理办法》</w:t>
      </w:r>
      <w:bookmarkEnd w:id="128"/>
      <w:bookmarkEnd w:id="129"/>
      <w:bookmarkEnd w:id="130"/>
    </w:p>
    <w:p>
      <w:pPr>
        <w:pStyle w:val="5"/>
      </w:pPr>
      <w:r>
        <w:rPr>
          <w:rFonts w:hint="eastAsia"/>
        </w:rPr>
        <w:t>1、期货交易所的职责</w:t>
      </w:r>
    </w:p>
    <w:p>
      <w:pPr>
        <w:spacing w:line="360" w:lineRule="auto"/>
        <w:ind w:firstLine="480" w:firstLineChars="200"/>
        <w:rPr>
          <w:rFonts w:ascii="仿宋" w:hAnsi="仿宋"/>
        </w:rPr>
      </w:pPr>
      <w:r>
        <w:rPr>
          <w:rFonts w:hint="eastAsia" w:ascii="仿宋" w:hAnsi="仿宋"/>
        </w:rPr>
        <w:t>期货交易所监管会员及其客户、指定交割仓库、期货保证金存管银行及期货市场其他参与者的期货业务。</w:t>
      </w:r>
    </w:p>
    <w:p>
      <w:pPr>
        <w:spacing w:line="360" w:lineRule="auto"/>
        <w:ind w:firstLine="480" w:firstLineChars="200"/>
        <w:rPr>
          <w:rFonts w:ascii="仿宋" w:hAnsi="仿宋"/>
        </w:rPr>
      </w:pPr>
      <w:r>
        <w:rPr>
          <w:rFonts w:hint="eastAsia" w:ascii="仿宋" w:hAnsi="仿宋"/>
        </w:rPr>
        <w:t>依据：第八条第（三）项</w:t>
      </w:r>
    </w:p>
    <w:p>
      <w:pPr>
        <w:spacing w:line="360" w:lineRule="auto"/>
        <w:ind w:firstLine="480" w:firstLineChars="200"/>
        <w:rPr>
          <w:rFonts w:ascii="仿宋" w:hAnsi="仿宋"/>
        </w:rPr>
      </w:pPr>
      <w:r>
        <w:rPr>
          <w:rFonts w:hint="eastAsia" w:ascii="仿宋" w:hAnsi="仿宋"/>
        </w:rPr>
        <w:t>第八条　期货交易所除履行《期货交易管理条例》规定的职责外，还应当履行下列职责：</w:t>
      </w:r>
    </w:p>
    <w:p>
      <w:pPr>
        <w:spacing w:line="360" w:lineRule="auto"/>
        <w:ind w:firstLine="480" w:firstLineChars="200"/>
        <w:rPr>
          <w:rFonts w:ascii="仿宋" w:hAnsi="仿宋"/>
        </w:rPr>
      </w:pPr>
      <w:r>
        <w:rPr>
          <w:rFonts w:hint="eastAsia" w:ascii="仿宋" w:hAnsi="仿宋"/>
        </w:rPr>
        <w:t>（一）制定并实施期货交易所的交易规则及其实施细则；</w:t>
      </w:r>
    </w:p>
    <w:p>
      <w:pPr>
        <w:spacing w:line="360" w:lineRule="auto"/>
        <w:ind w:firstLine="480" w:firstLineChars="200"/>
        <w:rPr>
          <w:rFonts w:ascii="仿宋" w:hAnsi="仿宋"/>
        </w:rPr>
      </w:pPr>
      <w:r>
        <w:rPr>
          <w:rFonts w:hint="eastAsia" w:ascii="仿宋" w:hAnsi="仿宋"/>
        </w:rPr>
        <w:t>（二）发布市场信息；</w:t>
      </w:r>
    </w:p>
    <w:p>
      <w:pPr>
        <w:spacing w:line="360" w:lineRule="auto"/>
        <w:ind w:firstLine="480" w:firstLineChars="200"/>
        <w:rPr>
          <w:rFonts w:ascii="仿宋" w:hAnsi="仿宋"/>
        </w:rPr>
      </w:pPr>
      <w:r>
        <w:rPr>
          <w:rFonts w:hint="eastAsia" w:ascii="仿宋" w:hAnsi="仿宋"/>
        </w:rPr>
        <w:t>（三）监管会员及其客户、指定交割仓库、期货保证金存管银行及期货市场其他参与者的期货业务；</w:t>
      </w:r>
    </w:p>
    <w:p>
      <w:pPr>
        <w:spacing w:line="360" w:lineRule="auto"/>
        <w:ind w:firstLine="480" w:firstLineChars="200"/>
        <w:rPr>
          <w:rFonts w:ascii="仿宋" w:hAnsi="仿宋"/>
        </w:rPr>
      </w:pPr>
      <w:r>
        <w:rPr>
          <w:rFonts w:hint="eastAsia" w:ascii="仿宋" w:hAnsi="仿宋"/>
        </w:rPr>
        <w:t>（四）查处违规行为。</w:t>
      </w:r>
    </w:p>
    <w:p>
      <w:pPr>
        <w:pStyle w:val="5"/>
      </w:pPr>
      <w:r>
        <w:rPr>
          <w:rFonts w:hint="eastAsia"/>
        </w:rPr>
        <w:t>2、大户持仓报告制度</w:t>
      </w:r>
    </w:p>
    <w:p>
      <w:pPr>
        <w:spacing w:line="360" w:lineRule="auto"/>
        <w:ind w:firstLine="480" w:firstLineChars="200"/>
        <w:rPr>
          <w:rFonts w:ascii="仿宋" w:hAnsi="仿宋"/>
        </w:rPr>
      </w:pPr>
      <w:r>
        <w:rPr>
          <w:rFonts w:hint="eastAsia" w:ascii="仿宋" w:hAnsi="仿宋"/>
        </w:rPr>
        <w:t>期货公司的报告义务：作为期货交易所会员，持仓达到期货交易所规定的持仓报告标准的，应当向期货交易所报告。客户未报告的，期货公司应当向期货交易所报告。</w:t>
      </w:r>
    </w:p>
    <w:p>
      <w:pPr>
        <w:spacing w:line="360" w:lineRule="auto"/>
        <w:ind w:firstLine="480" w:firstLineChars="200"/>
        <w:rPr>
          <w:rFonts w:ascii="仿宋" w:hAnsi="仿宋"/>
        </w:rPr>
      </w:pPr>
      <w:r>
        <w:rPr>
          <w:rFonts w:hint="eastAsia" w:ascii="仿宋" w:hAnsi="仿宋"/>
        </w:rPr>
        <w:t>依据：第八十一条第一款</w:t>
      </w:r>
    </w:p>
    <w:p>
      <w:pPr>
        <w:spacing w:line="360" w:lineRule="auto"/>
        <w:ind w:firstLine="480" w:firstLineChars="200"/>
        <w:rPr>
          <w:rFonts w:ascii="仿宋" w:hAnsi="仿宋"/>
        </w:rPr>
      </w:pPr>
      <w:r>
        <w:rPr>
          <w:rFonts w:hint="eastAsia" w:ascii="仿宋" w:hAnsi="仿宋"/>
        </w:rPr>
        <w:t>第八十一条　期货交易实行大户持仓报告制度。会员或者客户持仓达到期货交易所规定的持仓报告标准的，会员或者客户应当向期货交易所报告。客户未报告的，会员应当向期货交易所报告。</w:t>
      </w:r>
    </w:p>
    <w:p>
      <w:pPr>
        <w:spacing w:line="360" w:lineRule="auto"/>
        <w:ind w:firstLine="480" w:firstLineChars="200"/>
        <w:rPr>
          <w:rFonts w:ascii="仿宋" w:hAnsi="仿宋"/>
        </w:rPr>
      </w:pPr>
      <w:r>
        <w:rPr>
          <w:rFonts w:hint="eastAsia" w:ascii="仿宋" w:hAnsi="仿宋"/>
        </w:rPr>
        <w:t>期货交易所可以根据市场风险状况制定并调整持仓报告标准。</w:t>
      </w:r>
    </w:p>
    <w:p>
      <w:pPr>
        <w:pStyle w:val="5"/>
      </w:pPr>
      <w:r>
        <w:rPr>
          <w:rFonts w:hint="eastAsia"/>
        </w:rPr>
        <w:t>3、期货交易所的临时处置措施</w:t>
      </w:r>
    </w:p>
    <w:p>
      <w:pPr>
        <w:spacing w:line="360" w:lineRule="auto"/>
        <w:ind w:firstLine="480" w:firstLineChars="200"/>
        <w:rPr>
          <w:rFonts w:ascii="仿宋" w:hAnsi="仿宋"/>
        </w:rPr>
      </w:pPr>
      <w:r>
        <w:rPr>
          <w:rFonts w:hint="eastAsia" w:ascii="仿宋" w:hAnsi="仿宋"/>
        </w:rPr>
        <w:t>（</w:t>
      </w:r>
      <w:r>
        <w:rPr>
          <w:rFonts w:ascii="仿宋" w:hAnsi="仿宋"/>
        </w:rPr>
        <w:t>1</w:t>
      </w:r>
      <w:r>
        <w:rPr>
          <w:rFonts w:hint="eastAsia" w:ascii="仿宋" w:hAnsi="仿宋"/>
        </w:rPr>
        <w:t>）期货交易所可以采取临时处置措施的情形；（</w:t>
      </w:r>
      <w:r>
        <w:rPr>
          <w:rFonts w:ascii="仿宋" w:hAnsi="仿宋"/>
        </w:rPr>
        <w:t>2</w:t>
      </w:r>
      <w:r>
        <w:rPr>
          <w:rFonts w:hint="eastAsia" w:ascii="仿宋" w:hAnsi="仿宋"/>
        </w:rPr>
        <w:t>）期货交易所采取临时处置措施的种类。</w:t>
      </w:r>
    </w:p>
    <w:p>
      <w:pPr>
        <w:spacing w:line="360" w:lineRule="auto"/>
        <w:ind w:firstLine="480" w:firstLineChars="200"/>
        <w:rPr>
          <w:rFonts w:ascii="仿宋" w:hAnsi="仿宋"/>
        </w:rPr>
      </w:pPr>
      <w:r>
        <w:rPr>
          <w:rFonts w:hint="eastAsia" w:ascii="仿宋" w:hAnsi="仿宋"/>
        </w:rPr>
        <w:t>依据：第八十五条第一款</w:t>
      </w:r>
    </w:p>
    <w:p>
      <w:pPr>
        <w:spacing w:line="360" w:lineRule="auto"/>
        <w:ind w:firstLine="480" w:firstLineChars="200"/>
        <w:rPr>
          <w:rFonts w:ascii="仿宋" w:hAnsi="仿宋"/>
        </w:rPr>
      </w:pPr>
      <w:r>
        <w:rPr>
          <w:rFonts w:hint="eastAsia" w:ascii="仿宋" w:hAnsi="仿宋"/>
        </w:rPr>
        <w:t>第八十五条　有根据认为会员或者客户违反期货交易所交易规则及其实施细则并且对市场正在产生或者即将产生重大影响，为防止违规行为后果进一步扩大，期货交易所可以对该会员或者客户采取下列临时处置措施：</w:t>
      </w:r>
    </w:p>
    <w:p>
      <w:pPr>
        <w:spacing w:line="360" w:lineRule="auto"/>
        <w:ind w:firstLine="480" w:firstLineChars="200"/>
        <w:rPr>
          <w:rFonts w:ascii="仿宋" w:hAnsi="仿宋"/>
        </w:rPr>
      </w:pPr>
      <w:r>
        <w:rPr>
          <w:rFonts w:hint="eastAsia" w:ascii="仿宋" w:hAnsi="仿宋"/>
        </w:rPr>
        <w:t>（一）限制入金；</w:t>
      </w:r>
    </w:p>
    <w:p>
      <w:pPr>
        <w:spacing w:line="360" w:lineRule="auto"/>
        <w:ind w:firstLine="480" w:firstLineChars="200"/>
        <w:rPr>
          <w:rFonts w:ascii="仿宋" w:hAnsi="仿宋"/>
        </w:rPr>
      </w:pPr>
      <w:r>
        <w:rPr>
          <w:rFonts w:hint="eastAsia" w:ascii="仿宋" w:hAnsi="仿宋"/>
        </w:rPr>
        <w:t>（二）限制出金；</w:t>
      </w:r>
    </w:p>
    <w:p>
      <w:pPr>
        <w:spacing w:line="360" w:lineRule="auto"/>
        <w:ind w:firstLine="480" w:firstLineChars="200"/>
        <w:rPr>
          <w:rFonts w:ascii="仿宋" w:hAnsi="仿宋"/>
        </w:rPr>
      </w:pPr>
      <w:r>
        <w:rPr>
          <w:rFonts w:hint="eastAsia" w:ascii="仿宋" w:hAnsi="仿宋"/>
        </w:rPr>
        <w:t>（三）限制开仓；</w:t>
      </w:r>
    </w:p>
    <w:p>
      <w:pPr>
        <w:spacing w:line="360" w:lineRule="auto"/>
        <w:ind w:firstLine="480" w:firstLineChars="200"/>
        <w:rPr>
          <w:rFonts w:ascii="仿宋" w:hAnsi="仿宋"/>
        </w:rPr>
      </w:pPr>
      <w:r>
        <w:rPr>
          <w:rFonts w:hint="eastAsia" w:ascii="仿宋" w:hAnsi="仿宋"/>
        </w:rPr>
        <w:t>（四）提高保证金标准；</w:t>
      </w:r>
    </w:p>
    <w:p>
      <w:pPr>
        <w:spacing w:line="360" w:lineRule="auto"/>
        <w:ind w:firstLine="480" w:firstLineChars="200"/>
        <w:rPr>
          <w:rFonts w:ascii="仿宋" w:hAnsi="仿宋"/>
        </w:rPr>
      </w:pPr>
      <w:r>
        <w:rPr>
          <w:rFonts w:hint="eastAsia" w:ascii="仿宋" w:hAnsi="仿宋"/>
        </w:rPr>
        <w:t>（五）限期平仓；</w:t>
      </w:r>
    </w:p>
    <w:p>
      <w:pPr>
        <w:spacing w:line="360" w:lineRule="auto"/>
        <w:ind w:firstLine="480" w:firstLineChars="200"/>
        <w:rPr>
          <w:rFonts w:ascii="仿宋" w:hAnsi="仿宋"/>
        </w:rPr>
      </w:pPr>
      <w:r>
        <w:rPr>
          <w:rFonts w:hint="eastAsia" w:ascii="仿宋" w:hAnsi="仿宋"/>
        </w:rPr>
        <w:t>（六）强行平仓。</w:t>
      </w:r>
    </w:p>
    <w:p>
      <w:pPr>
        <w:spacing w:line="360" w:lineRule="auto"/>
        <w:ind w:firstLine="480" w:firstLineChars="200"/>
        <w:rPr>
          <w:rFonts w:ascii="仿宋" w:hAnsi="仿宋"/>
        </w:rPr>
      </w:pPr>
      <w:r>
        <w:rPr>
          <w:rFonts w:hint="eastAsia" w:ascii="仿宋" w:hAnsi="仿宋"/>
        </w:rPr>
        <w:t>期货交易所按交易规则及其实施细则规定的程序采取前款第（四）项、第（五）项或者第（六）项措施的，应当在采取措施后及时报告中国证监会。</w:t>
      </w:r>
    </w:p>
    <w:p>
      <w:pPr>
        <w:spacing w:line="360" w:lineRule="auto"/>
        <w:ind w:firstLine="480" w:firstLineChars="200"/>
        <w:rPr>
          <w:rFonts w:ascii="仿宋" w:hAnsi="仿宋"/>
        </w:rPr>
      </w:pPr>
      <w:r>
        <w:rPr>
          <w:rFonts w:hint="eastAsia" w:ascii="仿宋" w:hAnsi="仿宋"/>
        </w:rPr>
        <w:t>期货交易所对会员或者客户采取临时处置措施，应当按照期货交易所交易规则及其实施细则规定的方式通知会员或者客户，并列明采取临时处置措施的根据。</w:t>
      </w:r>
    </w:p>
    <w:p>
      <w:pPr>
        <w:pStyle w:val="5"/>
      </w:pPr>
      <w:r>
        <w:rPr>
          <w:rFonts w:hint="eastAsia"/>
        </w:rPr>
        <w:t>4、期货价格出现同方向连续涨跌停板时交易所可以采取的措施</w:t>
      </w:r>
    </w:p>
    <w:p>
      <w:pPr>
        <w:spacing w:line="360" w:lineRule="auto"/>
        <w:ind w:firstLine="480" w:firstLineChars="200"/>
        <w:rPr>
          <w:rFonts w:ascii="仿宋" w:hAnsi="仿宋"/>
        </w:rPr>
      </w:pPr>
      <w:r>
        <w:rPr>
          <w:rFonts w:hint="eastAsia" w:ascii="仿宋" w:hAnsi="仿宋"/>
        </w:rPr>
        <w:t>可以采取措施的具体种类：调整涨跌停板幅度、提高交易保证金标准及按一定原则减仓等</w:t>
      </w:r>
    </w:p>
    <w:p>
      <w:pPr>
        <w:spacing w:line="360" w:lineRule="auto"/>
        <w:ind w:firstLine="480" w:firstLineChars="200"/>
        <w:rPr>
          <w:rFonts w:ascii="仿宋" w:hAnsi="仿宋"/>
        </w:rPr>
      </w:pPr>
      <w:r>
        <w:rPr>
          <w:rFonts w:hint="eastAsia" w:ascii="仿宋" w:hAnsi="仿宋"/>
        </w:rPr>
        <w:t>依据：第八十六条</w:t>
      </w:r>
    </w:p>
    <w:p>
      <w:pPr>
        <w:spacing w:line="360" w:lineRule="auto"/>
        <w:ind w:firstLine="480" w:firstLineChars="200"/>
        <w:rPr>
          <w:rFonts w:ascii="仿宋" w:hAnsi="仿宋"/>
        </w:rPr>
      </w:pPr>
      <w:r>
        <w:rPr>
          <w:rFonts w:hint="eastAsia" w:ascii="仿宋" w:hAnsi="仿宋"/>
        </w:rPr>
        <w:t>第八十六条　期货价格出现同方向连续涨跌停板的，期货交易所可以采用调整涨跌停板幅度、提高交易保证金标准及按一定原则减仓等措施化解风险。</w:t>
      </w:r>
    </w:p>
    <w:p>
      <w:pPr>
        <w:spacing w:line="360" w:lineRule="auto"/>
        <w:ind w:firstLine="480" w:firstLineChars="200"/>
        <w:rPr>
          <w:rFonts w:ascii="仿宋" w:hAnsi="仿宋"/>
        </w:rPr>
      </w:pPr>
    </w:p>
    <w:p>
      <w:pPr>
        <w:pStyle w:val="4"/>
        <w:rPr>
          <w:rFonts w:ascii="仿宋" w:hAnsi="仿宋"/>
          <w:szCs w:val="24"/>
        </w:rPr>
      </w:pPr>
      <w:bookmarkStart w:id="131" w:name="_Toc404963365"/>
      <w:bookmarkStart w:id="132" w:name="_Toc445043901"/>
      <w:bookmarkStart w:id="133" w:name="_Toc3896725"/>
      <w:r>
        <w:rPr>
          <w:rFonts w:hint="eastAsia" w:ascii="仿宋" w:hAnsi="仿宋"/>
          <w:szCs w:val="24"/>
        </w:rPr>
        <w:t>（二）《期货公司监督管理办法》</w:t>
      </w:r>
      <w:bookmarkEnd w:id="131"/>
      <w:bookmarkEnd w:id="132"/>
      <w:bookmarkEnd w:id="133"/>
    </w:p>
    <w:p>
      <w:pPr>
        <w:pStyle w:val="5"/>
      </w:pPr>
      <w:r>
        <w:rPr>
          <w:rFonts w:hint="eastAsia"/>
        </w:rPr>
        <w:t>1、控股股东等权利滥用禁止</w:t>
      </w:r>
    </w:p>
    <w:p>
      <w:pPr>
        <w:spacing w:line="360" w:lineRule="auto"/>
        <w:ind w:firstLine="480" w:firstLineChars="200"/>
        <w:rPr>
          <w:rFonts w:ascii="仿宋" w:hAnsi="仿宋"/>
        </w:rPr>
      </w:pPr>
      <w:r>
        <w:rPr>
          <w:rFonts w:hint="eastAsia" w:ascii="仿宋" w:hAnsi="仿宋"/>
        </w:rPr>
        <w:t>依据：第四条</w:t>
      </w:r>
    </w:p>
    <w:p>
      <w:pPr>
        <w:spacing w:line="360" w:lineRule="auto"/>
        <w:ind w:firstLine="480" w:firstLineChars="200"/>
        <w:rPr>
          <w:rFonts w:ascii="仿宋" w:hAnsi="仿宋"/>
        </w:rPr>
      </w:pPr>
      <w:r>
        <w:rPr>
          <w:rFonts w:hint="eastAsia" w:ascii="仿宋" w:hAnsi="仿宋"/>
        </w:rPr>
        <w:t>第四条　期货公司的股东、实际控制人和其他关联人不得滥用权利，不得占用期货公司资产或者挪用客户资产，不得侵害期货公司、客户的合法权益。</w:t>
      </w:r>
    </w:p>
    <w:p>
      <w:pPr>
        <w:pStyle w:val="5"/>
      </w:pPr>
      <w:r>
        <w:rPr>
          <w:rFonts w:hint="eastAsia"/>
        </w:rPr>
        <w:t>2、监管主体</w:t>
      </w:r>
    </w:p>
    <w:p>
      <w:pPr>
        <w:spacing w:line="360" w:lineRule="auto"/>
        <w:ind w:firstLine="480" w:firstLineChars="200"/>
        <w:rPr>
          <w:rFonts w:ascii="仿宋" w:hAnsi="仿宋"/>
        </w:rPr>
      </w:pPr>
      <w:r>
        <w:rPr>
          <w:rFonts w:hint="eastAsia" w:ascii="仿宋" w:hAnsi="仿宋"/>
        </w:rPr>
        <w:t>依据：第五条</w:t>
      </w:r>
    </w:p>
    <w:p>
      <w:pPr>
        <w:spacing w:line="360" w:lineRule="auto"/>
        <w:ind w:firstLine="480" w:firstLineChars="200"/>
        <w:rPr>
          <w:rFonts w:ascii="仿宋" w:hAnsi="仿宋"/>
        </w:rPr>
      </w:pPr>
      <w:r>
        <w:rPr>
          <w:rFonts w:hint="eastAsia" w:ascii="仿宋" w:hAnsi="仿宋"/>
        </w:rPr>
        <w:t>第五条　中国证监会及其派出机构依法对期货公司及其分支机构实行监督管理。</w:t>
      </w:r>
    </w:p>
    <w:p>
      <w:pPr>
        <w:spacing w:line="360" w:lineRule="auto"/>
        <w:ind w:firstLine="480" w:firstLineChars="200"/>
        <w:rPr>
          <w:rFonts w:ascii="仿宋" w:hAnsi="仿宋"/>
        </w:rPr>
      </w:pPr>
      <w:r>
        <w:rPr>
          <w:rFonts w:hint="eastAsia" w:ascii="仿宋" w:hAnsi="仿宋"/>
        </w:rPr>
        <w:t>中国期货业协会、期货交易所按照自律规则对期货公司实行自律管理。</w:t>
      </w:r>
    </w:p>
    <w:p>
      <w:pPr>
        <w:spacing w:line="360" w:lineRule="auto"/>
        <w:ind w:firstLine="480" w:firstLineChars="200"/>
        <w:rPr>
          <w:rFonts w:ascii="仿宋" w:hAnsi="仿宋"/>
        </w:rPr>
      </w:pPr>
      <w:r>
        <w:rPr>
          <w:rFonts w:hint="eastAsia" w:ascii="仿宋" w:hAnsi="仿宋"/>
        </w:rPr>
        <w:t>期货保证金安全存管监控机构依法对客户保证金安全实施监控。</w:t>
      </w:r>
    </w:p>
    <w:p>
      <w:pPr>
        <w:pStyle w:val="5"/>
      </w:pPr>
      <w:r>
        <w:rPr>
          <w:rFonts w:hint="eastAsia"/>
        </w:rPr>
        <w:t>3、期货公司分支机构终止要求</w:t>
      </w:r>
    </w:p>
    <w:p>
      <w:pPr>
        <w:spacing w:line="360" w:lineRule="auto"/>
        <w:ind w:firstLine="480" w:firstLineChars="200"/>
        <w:rPr>
          <w:rFonts w:ascii="仿宋" w:hAnsi="仿宋"/>
        </w:rPr>
      </w:pPr>
      <w:r>
        <w:rPr>
          <w:rFonts w:hint="eastAsia" w:ascii="仿宋" w:hAnsi="仿宋"/>
        </w:rPr>
        <w:t>期货公司分支机构终止的，应当先行妥善处理该分支机构客户资产，结清分支机构业务并终止经营活动。</w:t>
      </w:r>
    </w:p>
    <w:p>
      <w:pPr>
        <w:spacing w:line="360" w:lineRule="auto"/>
        <w:ind w:firstLine="480" w:firstLineChars="200"/>
        <w:rPr>
          <w:rFonts w:ascii="仿宋" w:hAnsi="仿宋"/>
        </w:rPr>
      </w:pPr>
      <w:r>
        <w:rPr>
          <w:rFonts w:hint="eastAsia" w:ascii="仿宋" w:hAnsi="仿宋"/>
        </w:rPr>
        <w:t>依据：第二十六条第一款</w:t>
      </w:r>
    </w:p>
    <w:p>
      <w:pPr>
        <w:spacing w:line="360" w:lineRule="auto"/>
        <w:ind w:firstLine="480" w:firstLineChars="200"/>
        <w:rPr>
          <w:rFonts w:ascii="仿宋" w:hAnsi="仿宋"/>
        </w:rPr>
      </w:pPr>
      <w:r>
        <w:rPr>
          <w:rFonts w:hint="eastAsia" w:ascii="仿宋" w:hAnsi="仿宋"/>
        </w:rPr>
        <w:t>第二十六条 期货公司终止分支机构的，应当先行妥善处理该分支机构客户资产，结清分支机构业务并终止经营活动。</w:t>
      </w:r>
    </w:p>
    <w:p>
      <w:pPr>
        <w:spacing w:line="360" w:lineRule="auto"/>
        <w:ind w:firstLine="480" w:firstLineChars="200"/>
        <w:rPr>
          <w:rFonts w:ascii="仿宋" w:hAnsi="仿宋"/>
        </w:rPr>
      </w:pPr>
    </w:p>
    <w:p>
      <w:pPr>
        <w:pStyle w:val="5"/>
      </w:pPr>
      <w:r>
        <w:rPr>
          <w:rFonts w:hint="eastAsia"/>
        </w:rPr>
        <w:t>4、期货公司治理原则</w:t>
      </w:r>
    </w:p>
    <w:p>
      <w:pPr>
        <w:spacing w:line="360" w:lineRule="auto"/>
        <w:ind w:firstLine="480" w:firstLineChars="200"/>
        <w:rPr>
          <w:rFonts w:ascii="仿宋" w:hAnsi="仿宋"/>
        </w:rPr>
      </w:pPr>
      <w:r>
        <w:rPr>
          <w:rFonts w:hint="eastAsia" w:ascii="仿宋" w:hAnsi="仿宋"/>
        </w:rPr>
        <w:t>期货公司应当按照明晰职责、强化制衡、加强风险管理的原则，建立并完善公司治理。</w:t>
      </w:r>
    </w:p>
    <w:p>
      <w:pPr>
        <w:spacing w:line="360" w:lineRule="auto"/>
        <w:ind w:firstLine="480" w:firstLineChars="200"/>
        <w:rPr>
          <w:rFonts w:ascii="仿宋" w:hAnsi="仿宋"/>
        </w:rPr>
      </w:pPr>
      <w:r>
        <w:rPr>
          <w:rFonts w:hint="eastAsia" w:ascii="仿宋" w:hAnsi="仿宋"/>
        </w:rPr>
        <w:t>依据：第三十五条</w:t>
      </w:r>
    </w:p>
    <w:p>
      <w:pPr>
        <w:spacing w:line="360" w:lineRule="auto"/>
        <w:ind w:firstLine="480" w:firstLineChars="200"/>
        <w:rPr>
          <w:rFonts w:ascii="仿宋" w:hAnsi="仿宋"/>
        </w:rPr>
      </w:pPr>
      <w:r>
        <w:rPr>
          <w:rFonts w:hint="eastAsia" w:ascii="仿宋" w:hAnsi="仿宋"/>
        </w:rPr>
        <w:t>第三十五条　期货公司应当按照明晰职责、强化制衡、加强风险管理的原则，建立并完善公司治理。</w:t>
      </w:r>
    </w:p>
    <w:p>
      <w:pPr>
        <w:pStyle w:val="5"/>
      </w:pPr>
      <w:r>
        <w:rPr>
          <w:rFonts w:hint="eastAsia"/>
        </w:rPr>
        <w:t>5、期货公司股东、实际控制人及关联人</w:t>
      </w:r>
    </w:p>
    <w:p>
      <w:pPr>
        <w:spacing w:line="360" w:lineRule="auto"/>
        <w:ind w:firstLine="480" w:firstLineChars="200"/>
        <w:rPr>
          <w:rFonts w:ascii="仿宋" w:hAnsi="仿宋"/>
        </w:rPr>
      </w:pPr>
      <w:r>
        <w:rPr>
          <w:rFonts w:hint="eastAsia" w:ascii="仿宋" w:hAnsi="仿宋"/>
        </w:rPr>
        <w:t>（</w:t>
      </w:r>
      <w:r>
        <w:rPr>
          <w:rFonts w:ascii="仿宋" w:hAnsi="仿宋"/>
        </w:rPr>
        <w:t>1</w:t>
      </w:r>
      <w:r>
        <w:rPr>
          <w:rFonts w:hint="eastAsia" w:ascii="仿宋" w:hAnsi="仿宋"/>
        </w:rPr>
        <w:t>）期货公司与其之间独立经营、独立核算；（</w:t>
      </w:r>
      <w:r>
        <w:rPr>
          <w:rFonts w:ascii="仿宋" w:hAnsi="仿宋"/>
        </w:rPr>
        <w:t>2</w:t>
      </w:r>
      <w:r>
        <w:rPr>
          <w:rFonts w:hint="eastAsia" w:ascii="仿宋" w:hAnsi="仿宋"/>
        </w:rPr>
        <w:t>）未依法经期货公司股东会或者董事会决议，不得任免期货公司的董事、监事、高级管理人员，或者非法干预期货公司经营管理活动；（</w:t>
      </w:r>
      <w:r>
        <w:rPr>
          <w:rFonts w:ascii="仿宋" w:hAnsi="仿宋"/>
        </w:rPr>
        <w:t>3</w:t>
      </w:r>
      <w:r>
        <w:rPr>
          <w:rFonts w:hint="eastAsia" w:ascii="仿宋" w:hAnsi="仿宋"/>
        </w:rPr>
        <w:t>）不得降低对其风险管理要求。</w:t>
      </w:r>
    </w:p>
    <w:p>
      <w:pPr>
        <w:spacing w:line="360" w:lineRule="auto"/>
        <w:ind w:firstLine="480" w:firstLineChars="200"/>
        <w:rPr>
          <w:rFonts w:ascii="仿宋" w:hAnsi="仿宋"/>
        </w:rPr>
      </w:pPr>
      <w:r>
        <w:rPr>
          <w:rFonts w:hint="eastAsia" w:ascii="仿宋" w:hAnsi="仿宋"/>
        </w:rPr>
        <w:t>依据：第三十六条</w:t>
      </w:r>
    </w:p>
    <w:p>
      <w:pPr>
        <w:spacing w:line="360" w:lineRule="auto"/>
        <w:ind w:firstLine="480" w:firstLineChars="200"/>
        <w:rPr>
          <w:rFonts w:ascii="仿宋" w:hAnsi="仿宋"/>
        </w:rPr>
      </w:pPr>
      <w:r>
        <w:rPr>
          <w:rFonts w:hint="eastAsia" w:ascii="仿宋" w:hAnsi="仿宋"/>
        </w:rPr>
        <w:t>第三十六条 期货公司与其控股股东、实际控制人在业务、人员、资产、财务等方面应当严格分开，独立经营，独立核算。</w:t>
      </w:r>
    </w:p>
    <w:p>
      <w:pPr>
        <w:spacing w:line="360" w:lineRule="auto"/>
        <w:ind w:firstLine="480" w:firstLineChars="200"/>
        <w:rPr>
          <w:rFonts w:ascii="仿宋" w:hAnsi="仿宋"/>
        </w:rPr>
      </w:pPr>
      <w:r>
        <w:rPr>
          <w:rFonts w:hint="eastAsia" w:ascii="仿宋" w:hAnsi="仿宋"/>
        </w:rPr>
        <w:t>未依法经期货公司股东会或者董事会决议，期货公司控股股东、实际控制人不得任免期货公司的董事、监事、高级管理人员，或者非法干预期货公司经营管理活动。</w:t>
      </w:r>
    </w:p>
    <w:p>
      <w:pPr>
        <w:spacing w:line="360" w:lineRule="auto"/>
        <w:ind w:firstLine="480" w:firstLineChars="200"/>
        <w:rPr>
          <w:rFonts w:ascii="仿宋" w:hAnsi="仿宋"/>
        </w:rPr>
      </w:pPr>
      <w:r>
        <w:rPr>
          <w:rFonts w:hint="eastAsia" w:ascii="仿宋" w:hAnsi="仿宋"/>
        </w:rPr>
        <w:t>期货公司向股东、实际控制人及其关联人提供服务的，不得降低风险管理要求。</w:t>
      </w:r>
    </w:p>
    <w:p>
      <w:pPr>
        <w:pStyle w:val="5"/>
      </w:pPr>
      <w:r>
        <w:rPr>
          <w:rFonts w:hint="eastAsia"/>
        </w:rPr>
        <w:t>6、持有期货公司5%以上股权的股东及实际控制人的通知义务</w:t>
      </w:r>
    </w:p>
    <w:p>
      <w:pPr>
        <w:spacing w:line="360" w:lineRule="auto"/>
        <w:ind w:firstLine="480" w:firstLineChars="200"/>
        <w:rPr>
          <w:rFonts w:ascii="仿宋" w:hAnsi="仿宋"/>
        </w:rPr>
      </w:pPr>
      <w:r>
        <w:rPr>
          <w:rFonts w:hint="eastAsia" w:ascii="仿宋" w:hAnsi="仿宋"/>
        </w:rPr>
        <w:t>依据：第三十七条</w:t>
      </w:r>
    </w:p>
    <w:p>
      <w:pPr>
        <w:spacing w:line="360" w:lineRule="auto"/>
        <w:ind w:firstLine="480" w:firstLineChars="200"/>
        <w:rPr>
          <w:rFonts w:ascii="仿宋" w:hAnsi="仿宋" w:cs="宋体"/>
          <w:kern w:val="0"/>
        </w:rPr>
      </w:pPr>
      <w:r>
        <w:rPr>
          <w:rFonts w:hint="eastAsia" w:ascii="仿宋" w:hAnsi="仿宋" w:cs="宋体"/>
          <w:kern w:val="0"/>
        </w:rPr>
        <w:t>第三十七条 持有期货公司5%以上股权的股东或者实际控制人出现下列情形之一的，应当在3 个工作日内通知期货公司：</w:t>
      </w:r>
    </w:p>
    <w:p>
      <w:pPr>
        <w:spacing w:line="360" w:lineRule="auto"/>
        <w:ind w:firstLine="480" w:firstLineChars="200"/>
        <w:rPr>
          <w:rFonts w:ascii="仿宋" w:hAnsi="仿宋" w:cs="宋体"/>
          <w:kern w:val="0"/>
        </w:rPr>
      </w:pPr>
      <w:r>
        <w:rPr>
          <w:rFonts w:hint="eastAsia" w:ascii="仿宋" w:hAnsi="仿宋" w:cs="宋体"/>
          <w:kern w:val="0"/>
        </w:rPr>
        <w:t>（一）所持有的期货公司股权被冻结、查封或者被强制执行；</w:t>
      </w:r>
    </w:p>
    <w:p>
      <w:pPr>
        <w:spacing w:line="360" w:lineRule="auto"/>
        <w:ind w:firstLine="480" w:firstLineChars="200"/>
        <w:rPr>
          <w:rFonts w:ascii="仿宋" w:hAnsi="仿宋" w:cs="宋体"/>
          <w:kern w:val="0"/>
        </w:rPr>
      </w:pPr>
      <w:r>
        <w:rPr>
          <w:rFonts w:hint="eastAsia" w:ascii="仿宋" w:hAnsi="仿宋" w:cs="宋体"/>
          <w:kern w:val="0"/>
        </w:rPr>
        <w:t>（二）质押所持有的期货公司股权；</w:t>
      </w:r>
    </w:p>
    <w:p>
      <w:pPr>
        <w:spacing w:line="360" w:lineRule="auto"/>
        <w:ind w:firstLine="480" w:firstLineChars="200"/>
        <w:rPr>
          <w:rFonts w:ascii="仿宋" w:hAnsi="仿宋" w:cs="宋体"/>
          <w:kern w:val="0"/>
        </w:rPr>
      </w:pPr>
      <w:r>
        <w:rPr>
          <w:rFonts w:hint="eastAsia" w:ascii="仿宋" w:hAnsi="仿宋" w:cs="宋体"/>
          <w:kern w:val="0"/>
        </w:rPr>
        <w:t>（三）决定转让所持有的期货公司股权；</w:t>
      </w:r>
    </w:p>
    <w:p>
      <w:pPr>
        <w:spacing w:line="360" w:lineRule="auto"/>
        <w:ind w:firstLine="480" w:firstLineChars="200"/>
        <w:rPr>
          <w:rFonts w:ascii="仿宋" w:hAnsi="仿宋" w:cs="宋体"/>
          <w:kern w:val="0"/>
        </w:rPr>
      </w:pPr>
      <w:r>
        <w:rPr>
          <w:rFonts w:hint="eastAsia" w:ascii="仿宋" w:hAnsi="仿宋" w:cs="宋体"/>
          <w:kern w:val="0"/>
        </w:rPr>
        <w:t>（四）不能正常行使股东权利或者承担股东义务，可能造成期货公司治理的重大缺陷；</w:t>
      </w:r>
    </w:p>
    <w:p>
      <w:pPr>
        <w:spacing w:line="360" w:lineRule="auto"/>
        <w:ind w:firstLine="480" w:firstLineChars="200"/>
        <w:rPr>
          <w:rFonts w:ascii="仿宋" w:hAnsi="仿宋" w:cs="宋体"/>
          <w:kern w:val="0"/>
        </w:rPr>
      </w:pPr>
      <w:r>
        <w:rPr>
          <w:rFonts w:hint="eastAsia" w:ascii="仿宋" w:hAnsi="仿宋" w:cs="宋体"/>
          <w:kern w:val="0"/>
        </w:rPr>
        <w:t>（五）涉嫌重大违法违规被有权机关调查或者采取强制措施；</w:t>
      </w:r>
    </w:p>
    <w:p>
      <w:pPr>
        <w:spacing w:line="360" w:lineRule="auto"/>
        <w:ind w:firstLine="480" w:firstLineChars="200"/>
        <w:rPr>
          <w:rFonts w:ascii="仿宋" w:hAnsi="仿宋" w:cs="宋体"/>
          <w:kern w:val="0"/>
        </w:rPr>
      </w:pPr>
      <w:r>
        <w:rPr>
          <w:rFonts w:hint="eastAsia" w:ascii="仿宋" w:hAnsi="仿宋" w:cs="宋体"/>
          <w:kern w:val="0"/>
        </w:rPr>
        <w:t>（六）因重大违法违规行为受到行政处罚或者刑事处罚；</w:t>
      </w:r>
    </w:p>
    <w:p>
      <w:pPr>
        <w:spacing w:line="360" w:lineRule="auto"/>
        <w:ind w:firstLine="480" w:firstLineChars="200"/>
        <w:rPr>
          <w:rFonts w:ascii="仿宋" w:hAnsi="仿宋" w:cs="宋体"/>
          <w:kern w:val="0"/>
        </w:rPr>
      </w:pPr>
      <w:r>
        <w:rPr>
          <w:rFonts w:hint="eastAsia" w:ascii="仿宋" w:hAnsi="仿宋" w:cs="宋体"/>
          <w:kern w:val="0"/>
        </w:rPr>
        <w:t>（七）变更名称；</w:t>
      </w:r>
    </w:p>
    <w:p>
      <w:pPr>
        <w:spacing w:line="360" w:lineRule="auto"/>
        <w:ind w:firstLine="480" w:firstLineChars="200"/>
        <w:rPr>
          <w:rFonts w:ascii="仿宋" w:hAnsi="仿宋" w:cs="宋体"/>
          <w:kern w:val="0"/>
        </w:rPr>
      </w:pPr>
      <w:r>
        <w:rPr>
          <w:rFonts w:hint="eastAsia" w:ascii="仿宋" w:hAnsi="仿宋" w:cs="宋体"/>
          <w:kern w:val="0"/>
        </w:rPr>
        <w:t>（八）合并、分立或者进行重大资产、债务重组；</w:t>
      </w:r>
    </w:p>
    <w:p>
      <w:pPr>
        <w:spacing w:line="360" w:lineRule="auto"/>
        <w:ind w:firstLine="480" w:firstLineChars="200"/>
        <w:rPr>
          <w:rFonts w:ascii="仿宋" w:hAnsi="仿宋" w:cs="宋体"/>
          <w:kern w:val="0"/>
        </w:rPr>
      </w:pPr>
      <w:r>
        <w:rPr>
          <w:rFonts w:hint="eastAsia" w:ascii="仿宋" w:hAnsi="仿宋" w:cs="宋体"/>
          <w:kern w:val="0"/>
        </w:rPr>
        <w:t>（九）被采取停业整顿、撤销、接管、托管等监管措施，或者进入解散、破产、关闭程序；</w:t>
      </w:r>
    </w:p>
    <w:p>
      <w:pPr>
        <w:spacing w:line="360" w:lineRule="auto"/>
        <w:ind w:firstLine="480" w:firstLineChars="200"/>
        <w:rPr>
          <w:rFonts w:ascii="仿宋" w:hAnsi="仿宋" w:cs="宋体"/>
          <w:kern w:val="0"/>
        </w:rPr>
      </w:pPr>
      <w:r>
        <w:rPr>
          <w:rFonts w:hint="eastAsia" w:ascii="仿宋" w:hAnsi="仿宋" w:cs="宋体"/>
          <w:kern w:val="0"/>
        </w:rPr>
        <w:t>（十）其他可能影响期货公司股权变更或者持续经营的情形。</w:t>
      </w:r>
    </w:p>
    <w:p>
      <w:pPr>
        <w:spacing w:line="360" w:lineRule="auto"/>
        <w:ind w:firstLine="480" w:firstLineChars="200"/>
        <w:rPr>
          <w:rFonts w:ascii="仿宋" w:hAnsi="仿宋" w:cs="宋体"/>
          <w:kern w:val="0"/>
        </w:rPr>
      </w:pPr>
      <w:r>
        <w:rPr>
          <w:rFonts w:hint="eastAsia" w:ascii="仿宋" w:hAnsi="仿宋" w:cs="宋体"/>
          <w:kern w:val="0"/>
        </w:rPr>
        <w:t>持有期货公司5%以上股权的股东发生前款规定情形的，期货公司应当自收到通知之日起3 个工作日内向期货公司住所地中国证监会派出机构报告。</w:t>
      </w:r>
    </w:p>
    <w:p>
      <w:pPr>
        <w:spacing w:line="360" w:lineRule="auto"/>
        <w:ind w:firstLine="480" w:firstLineChars="200"/>
        <w:rPr>
          <w:rFonts w:ascii="仿宋" w:hAnsi="仿宋"/>
        </w:rPr>
      </w:pPr>
      <w:r>
        <w:rPr>
          <w:rFonts w:hint="eastAsia" w:ascii="仿宋" w:hAnsi="仿宋" w:cs="宋体"/>
          <w:kern w:val="0"/>
        </w:rPr>
        <w:t>期货公司实际控制人发生第一款第（五）项至第（九）项所列情形的，期货公司应当自收到通知之日起3 个工作日内向住所地中国证监会派出机构报告。</w:t>
      </w:r>
    </w:p>
    <w:p>
      <w:pPr>
        <w:pStyle w:val="5"/>
      </w:pPr>
      <w:r>
        <w:rPr>
          <w:rFonts w:hint="eastAsia"/>
        </w:rPr>
        <w:t>7、期货公司的通知义务</w:t>
      </w:r>
    </w:p>
    <w:p>
      <w:pPr>
        <w:spacing w:line="360" w:lineRule="auto"/>
        <w:ind w:firstLine="480" w:firstLineChars="200"/>
        <w:rPr>
          <w:rFonts w:ascii="仿宋" w:hAnsi="仿宋"/>
        </w:rPr>
      </w:pPr>
      <w:r>
        <w:rPr>
          <w:rFonts w:hint="eastAsia" w:ascii="仿宋" w:hAnsi="仿宋"/>
        </w:rPr>
        <w:t>依据：第三十八条</w:t>
      </w:r>
    </w:p>
    <w:p>
      <w:pPr>
        <w:spacing w:line="360" w:lineRule="auto"/>
        <w:ind w:firstLine="480" w:firstLineChars="200"/>
        <w:rPr>
          <w:rFonts w:ascii="仿宋" w:hAnsi="仿宋" w:cs="宋体"/>
          <w:kern w:val="0"/>
        </w:rPr>
      </w:pPr>
      <w:r>
        <w:rPr>
          <w:rFonts w:hint="eastAsia" w:ascii="仿宋" w:hAnsi="仿宋" w:cs="宋体"/>
          <w:kern w:val="0"/>
        </w:rPr>
        <w:t>第三十八条 期货公司有下列情形之一的，应当立即书面通知全体股东或进行公告，并向住所地中国证监会派出机构报告：</w:t>
      </w:r>
    </w:p>
    <w:p>
      <w:pPr>
        <w:spacing w:line="360" w:lineRule="auto"/>
        <w:ind w:firstLine="480" w:firstLineChars="200"/>
        <w:rPr>
          <w:rFonts w:ascii="仿宋" w:hAnsi="仿宋" w:cs="宋体"/>
          <w:kern w:val="0"/>
        </w:rPr>
      </w:pPr>
      <w:r>
        <w:rPr>
          <w:rFonts w:hint="eastAsia" w:ascii="仿宋" w:hAnsi="仿宋" w:cs="宋体"/>
          <w:kern w:val="0"/>
        </w:rPr>
        <w:t>（一）公司或者其董事、监事、高级管理人员因涉嫌违法违规被有权机关立案调查或者采取强制措施；</w:t>
      </w:r>
    </w:p>
    <w:p>
      <w:pPr>
        <w:spacing w:line="360" w:lineRule="auto"/>
        <w:ind w:firstLine="480" w:firstLineChars="200"/>
        <w:rPr>
          <w:rFonts w:ascii="仿宋" w:hAnsi="仿宋" w:cs="宋体"/>
          <w:kern w:val="0"/>
        </w:rPr>
      </w:pPr>
      <w:r>
        <w:rPr>
          <w:rFonts w:hint="eastAsia" w:ascii="仿宋" w:hAnsi="仿宋" w:cs="宋体"/>
          <w:kern w:val="0"/>
        </w:rPr>
        <w:t>（二）公司或者其董事、监事、高级管理人员因违法违规行为受到行政处罚或者刑事处罚；</w:t>
      </w:r>
    </w:p>
    <w:p>
      <w:pPr>
        <w:spacing w:line="360" w:lineRule="auto"/>
        <w:ind w:firstLine="480" w:firstLineChars="200"/>
        <w:rPr>
          <w:rFonts w:ascii="仿宋" w:hAnsi="仿宋" w:cs="宋体"/>
          <w:kern w:val="0"/>
        </w:rPr>
      </w:pPr>
      <w:r>
        <w:rPr>
          <w:rFonts w:hint="eastAsia" w:ascii="仿宋" w:hAnsi="仿宋" w:cs="宋体"/>
          <w:kern w:val="0"/>
        </w:rPr>
        <w:t>（三）风险监管指标不符合规定标准；</w:t>
      </w:r>
    </w:p>
    <w:p>
      <w:pPr>
        <w:spacing w:line="360" w:lineRule="auto"/>
        <w:ind w:firstLine="480" w:firstLineChars="200"/>
        <w:rPr>
          <w:rFonts w:ascii="仿宋" w:hAnsi="仿宋" w:cs="宋体"/>
          <w:kern w:val="0"/>
        </w:rPr>
      </w:pPr>
      <w:r>
        <w:rPr>
          <w:rFonts w:hint="eastAsia" w:ascii="仿宋" w:hAnsi="仿宋" w:cs="宋体"/>
          <w:kern w:val="0"/>
        </w:rPr>
        <w:t>（四）客户发生重大透支、穿仓，可能影响期货公司持续经营；</w:t>
      </w:r>
    </w:p>
    <w:p>
      <w:pPr>
        <w:spacing w:line="360" w:lineRule="auto"/>
        <w:ind w:firstLine="480" w:firstLineChars="200"/>
        <w:rPr>
          <w:rFonts w:ascii="仿宋" w:hAnsi="仿宋" w:cs="宋体"/>
          <w:kern w:val="0"/>
        </w:rPr>
      </w:pPr>
      <w:r>
        <w:rPr>
          <w:rFonts w:hint="eastAsia" w:ascii="仿宋" w:hAnsi="仿宋" w:cs="宋体"/>
          <w:kern w:val="0"/>
        </w:rPr>
        <w:t>（五）发生突发事件，对期货公司或者客户利益产生或者可能产生重大不利影响；</w:t>
      </w:r>
    </w:p>
    <w:p>
      <w:pPr>
        <w:spacing w:line="360" w:lineRule="auto"/>
        <w:ind w:firstLine="480" w:firstLineChars="200"/>
        <w:rPr>
          <w:rFonts w:ascii="仿宋" w:hAnsi="仿宋" w:cs="宋体"/>
          <w:kern w:val="0"/>
        </w:rPr>
      </w:pPr>
      <w:r>
        <w:rPr>
          <w:rFonts w:hint="eastAsia" w:ascii="仿宋" w:hAnsi="仿宋" w:cs="宋体"/>
          <w:kern w:val="0"/>
        </w:rPr>
        <w:t>（六）其他可能影响期货公司持续经营的情形。</w:t>
      </w:r>
    </w:p>
    <w:p>
      <w:pPr>
        <w:spacing w:line="360" w:lineRule="auto"/>
        <w:ind w:firstLine="480" w:firstLineChars="200"/>
        <w:rPr>
          <w:rFonts w:ascii="仿宋" w:hAnsi="仿宋"/>
        </w:rPr>
      </w:pPr>
      <w:r>
        <w:rPr>
          <w:rFonts w:hint="eastAsia" w:ascii="仿宋" w:hAnsi="仿宋" w:cs="宋体"/>
          <w:kern w:val="0"/>
        </w:rPr>
        <w:t>中国证监会及其派出机构对期货公司及其分支机构采取《期货交易管理条例》第五十六条第二款、第四款或者第五十七条规定的监管措施或者作出行政处罚，期货公司应当书面通知全体股东或进行公告。</w:t>
      </w:r>
    </w:p>
    <w:p>
      <w:pPr>
        <w:pStyle w:val="5"/>
      </w:pPr>
      <w:r>
        <w:rPr>
          <w:rFonts w:hint="eastAsia"/>
        </w:rPr>
        <w:t>8、首席风险官</w:t>
      </w:r>
    </w:p>
    <w:p>
      <w:pPr>
        <w:spacing w:line="360" w:lineRule="auto"/>
        <w:ind w:firstLine="480" w:firstLineChars="200"/>
        <w:rPr>
          <w:rFonts w:ascii="仿宋" w:hAnsi="仿宋"/>
        </w:rPr>
      </w:pPr>
      <w:r>
        <w:rPr>
          <w:rFonts w:hint="eastAsia" w:ascii="仿宋" w:hAnsi="仿宋"/>
        </w:rPr>
        <w:t>（</w:t>
      </w:r>
      <w:r>
        <w:rPr>
          <w:rFonts w:ascii="仿宋" w:hAnsi="仿宋"/>
        </w:rPr>
        <w:t>1</w:t>
      </w:r>
      <w:r>
        <w:rPr>
          <w:rFonts w:hint="eastAsia" w:ascii="仿宋" w:hAnsi="仿宋"/>
        </w:rPr>
        <w:t>）职责；（</w:t>
      </w:r>
      <w:r>
        <w:rPr>
          <w:rFonts w:ascii="仿宋" w:hAnsi="仿宋"/>
        </w:rPr>
        <w:t>2</w:t>
      </w:r>
      <w:r>
        <w:rPr>
          <w:rFonts w:hint="eastAsia" w:ascii="仿宋" w:hAnsi="仿宋"/>
        </w:rPr>
        <w:t>）报告义务；（</w:t>
      </w:r>
      <w:r>
        <w:rPr>
          <w:rFonts w:ascii="仿宋" w:hAnsi="仿宋"/>
        </w:rPr>
        <w:t>3</w:t>
      </w:r>
      <w:r>
        <w:rPr>
          <w:rFonts w:hint="eastAsia" w:ascii="仿宋" w:hAnsi="仿宋"/>
        </w:rPr>
        <w:t>）解聘程序。</w:t>
      </w:r>
    </w:p>
    <w:p>
      <w:pPr>
        <w:spacing w:line="360" w:lineRule="auto"/>
        <w:ind w:firstLine="480" w:firstLineChars="200"/>
        <w:rPr>
          <w:rFonts w:ascii="仿宋" w:hAnsi="仿宋"/>
        </w:rPr>
      </w:pPr>
      <w:r>
        <w:rPr>
          <w:rFonts w:hint="eastAsia" w:ascii="仿宋" w:hAnsi="仿宋"/>
        </w:rPr>
        <w:t>依据：第四十一条</w:t>
      </w:r>
    </w:p>
    <w:p>
      <w:pPr>
        <w:spacing w:line="360" w:lineRule="auto"/>
        <w:ind w:firstLine="480" w:firstLineChars="200"/>
        <w:rPr>
          <w:rFonts w:ascii="仿宋" w:hAnsi="仿宋" w:cs="宋体"/>
          <w:kern w:val="0"/>
        </w:rPr>
      </w:pPr>
      <w:r>
        <w:rPr>
          <w:rFonts w:hint="eastAsia" w:ascii="仿宋" w:hAnsi="仿宋" w:cs="宋体"/>
          <w:kern w:val="0"/>
        </w:rPr>
        <w:t>第四十一条 期货公司应当设首席风险官，对期货公司经营管理行为的合法合规性、风险管理进行监督、检查。</w:t>
      </w:r>
    </w:p>
    <w:p>
      <w:pPr>
        <w:spacing w:line="360" w:lineRule="auto"/>
        <w:ind w:firstLine="480" w:firstLineChars="200"/>
        <w:rPr>
          <w:rFonts w:ascii="仿宋" w:hAnsi="仿宋" w:cs="宋体"/>
          <w:kern w:val="0"/>
        </w:rPr>
      </w:pPr>
      <w:r>
        <w:rPr>
          <w:rFonts w:hint="eastAsia" w:ascii="仿宋" w:hAnsi="仿宋" w:cs="宋体"/>
          <w:kern w:val="0"/>
        </w:rPr>
        <w:t>首席风险官发现涉嫌占用、挪用客户保证金等违法违规行为或者可能发生风险的，应当立即向住所地中国证监会派出机构和公司董事会报告。</w:t>
      </w:r>
    </w:p>
    <w:p>
      <w:pPr>
        <w:spacing w:line="360" w:lineRule="auto"/>
        <w:ind w:firstLine="480" w:firstLineChars="200"/>
        <w:rPr>
          <w:rFonts w:ascii="仿宋" w:hAnsi="仿宋" w:cs="宋体"/>
          <w:kern w:val="0"/>
        </w:rPr>
      </w:pPr>
      <w:r>
        <w:rPr>
          <w:rFonts w:hint="eastAsia" w:ascii="仿宋" w:hAnsi="仿宋" w:cs="宋体"/>
          <w:kern w:val="0"/>
        </w:rPr>
        <w:t>期货公司拟解聘首席风险官的，应当有正当理由，并向住所地中国证监会派出机构报告。</w:t>
      </w:r>
    </w:p>
    <w:p>
      <w:pPr>
        <w:pStyle w:val="5"/>
      </w:pPr>
      <w:r>
        <w:rPr>
          <w:rFonts w:hint="eastAsia"/>
        </w:rPr>
        <w:t>9、任职独立性要求</w:t>
      </w:r>
    </w:p>
    <w:p>
      <w:pPr>
        <w:spacing w:line="360" w:lineRule="auto"/>
        <w:ind w:firstLine="480" w:firstLineChars="200"/>
        <w:rPr>
          <w:rFonts w:ascii="仿宋" w:hAnsi="仿宋"/>
        </w:rPr>
      </w:pPr>
      <w:r>
        <w:rPr>
          <w:rFonts w:hint="eastAsia" w:ascii="仿宋" w:hAnsi="仿宋"/>
        </w:rPr>
        <w:t>（</w:t>
      </w:r>
      <w:r>
        <w:rPr>
          <w:rFonts w:ascii="仿宋" w:hAnsi="仿宋"/>
        </w:rPr>
        <w:t>1</w:t>
      </w:r>
      <w:r>
        <w:rPr>
          <w:rFonts w:hint="eastAsia" w:ascii="仿宋" w:hAnsi="仿宋"/>
        </w:rPr>
        <w:t>）不得存在近亲属关系；（</w:t>
      </w:r>
      <w:r>
        <w:rPr>
          <w:rFonts w:ascii="仿宋" w:hAnsi="仿宋"/>
        </w:rPr>
        <w:t>2</w:t>
      </w:r>
      <w:r>
        <w:rPr>
          <w:rFonts w:hint="eastAsia" w:ascii="仿宋" w:hAnsi="仿宋"/>
        </w:rPr>
        <w:t>）不得兼任。</w:t>
      </w:r>
    </w:p>
    <w:p>
      <w:pPr>
        <w:spacing w:line="360" w:lineRule="auto"/>
        <w:ind w:firstLine="480" w:firstLineChars="200"/>
        <w:rPr>
          <w:rFonts w:ascii="仿宋" w:hAnsi="仿宋"/>
        </w:rPr>
      </w:pPr>
      <w:r>
        <w:rPr>
          <w:rFonts w:hint="eastAsia" w:ascii="仿宋" w:hAnsi="仿宋"/>
        </w:rPr>
        <w:t>依据：第四十二条</w:t>
      </w:r>
    </w:p>
    <w:p>
      <w:pPr>
        <w:spacing w:line="360" w:lineRule="auto"/>
        <w:ind w:firstLine="480" w:firstLineChars="200"/>
        <w:rPr>
          <w:rFonts w:ascii="仿宋" w:hAnsi="仿宋"/>
        </w:rPr>
      </w:pPr>
      <w:r>
        <w:rPr>
          <w:rFonts w:hint="eastAsia" w:ascii="仿宋" w:hAnsi="仿宋" w:cs="宋体"/>
          <w:kern w:val="0"/>
        </w:rPr>
        <w:t>第四十二条 期货公司的董事长、总经理、首席风险官之间不得存在近亲属关系。董事长和总经理不得由一人兼任。</w:t>
      </w:r>
    </w:p>
    <w:p>
      <w:pPr>
        <w:pStyle w:val="5"/>
      </w:pPr>
      <w:r>
        <w:rPr>
          <w:rFonts w:hint="eastAsia"/>
        </w:rPr>
        <w:t>10、部门设置相关规定</w:t>
      </w:r>
    </w:p>
    <w:p>
      <w:pPr>
        <w:spacing w:line="360" w:lineRule="auto"/>
        <w:ind w:firstLine="480" w:firstLineChars="200"/>
        <w:rPr>
          <w:rFonts w:ascii="仿宋" w:hAnsi="仿宋"/>
        </w:rPr>
      </w:pPr>
      <w:r>
        <w:rPr>
          <w:rFonts w:hint="eastAsia" w:ascii="仿宋" w:hAnsi="仿宋"/>
        </w:rPr>
        <w:t>合理设置部门及其职能；建立岗位责任制度；不相容岗位应当分离。</w:t>
      </w:r>
    </w:p>
    <w:p>
      <w:pPr>
        <w:spacing w:line="360" w:lineRule="auto"/>
        <w:ind w:firstLine="480" w:firstLineChars="200"/>
        <w:rPr>
          <w:rFonts w:ascii="仿宋" w:hAnsi="仿宋"/>
        </w:rPr>
      </w:pPr>
      <w:r>
        <w:rPr>
          <w:rFonts w:hint="eastAsia" w:ascii="仿宋" w:hAnsi="仿宋"/>
        </w:rPr>
        <w:t>依据：第四十三条第一款</w:t>
      </w:r>
    </w:p>
    <w:p>
      <w:pPr>
        <w:spacing w:line="360" w:lineRule="auto"/>
        <w:ind w:firstLine="480" w:firstLineChars="200"/>
        <w:rPr>
          <w:rFonts w:ascii="仿宋" w:hAnsi="仿宋"/>
        </w:rPr>
      </w:pPr>
      <w:r>
        <w:rPr>
          <w:rFonts w:hint="eastAsia" w:ascii="仿宋" w:hAnsi="仿宋"/>
        </w:rPr>
        <w:t>第四十三条 期货公司应当合理设置业务部门及其职能，建立岗位责任制度，不相容岗位应当分离。交易、结算、财务业务应当由不同部门和人员分开办理。</w:t>
      </w:r>
    </w:p>
    <w:p>
      <w:pPr>
        <w:spacing w:line="360" w:lineRule="auto"/>
        <w:ind w:firstLine="480" w:firstLineChars="200"/>
        <w:rPr>
          <w:rFonts w:ascii="仿宋" w:hAnsi="仿宋"/>
        </w:rPr>
      </w:pPr>
    </w:p>
    <w:p>
      <w:pPr>
        <w:pStyle w:val="5"/>
      </w:pPr>
      <w:r>
        <w:rPr>
          <w:rFonts w:hint="eastAsia"/>
        </w:rPr>
        <w:t>11、风险管理以及合规部门的设置</w:t>
      </w:r>
    </w:p>
    <w:p>
      <w:pPr>
        <w:spacing w:line="360" w:lineRule="auto"/>
        <w:ind w:firstLine="480" w:firstLineChars="200"/>
        <w:rPr>
          <w:rFonts w:ascii="仿宋" w:hAnsi="仿宋"/>
        </w:rPr>
      </w:pPr>
      <w:r>
        <w:rPr>
          <w:rFonts w:hint="eastAsia" w:ascii="仿宋" w:hAnsi="仿宋"/>
        </w:rPr>
        <w:t>依据：第四十三条第二款及第三款</w:t>
      </w:r>
    </w:p>
    <w:p>
      <w:pPr>
        <w:spacing w:line="360" w:lineRule="auto"/>
        <w:ind w:firstLine="480" w:firstLineChars="200"/>
        <w:rPr>
          <w:rFonts w:ascii="仿宋" w:hAnsi="仿宋"/>
        </w:rPr>
      </w:pPr>
      <w:r>
        <w:rPr>
          <w:rFonts w:hint="eastAsia" w:ascii="仿宋" w:hAnsi="仿宋"/>
        </w:rPr>
        <w:t>第四十三条 期货公司应当设立风险管理部门或者岗位，管理和控制期货公司的经营风险。</w:t>
      </w:r>
    </w:p>
    <w:p>
      <w:pPr>
        <w:spacing w:line="360" w:lineRule="auto"/>
        <w:ind w:firstLine="480" w:firstLineChars="200"/>
        <w:rPr>
          <w:rFonts w:ascii="仿宋" w:hAnsi="仿宋"/>
        </w:rPr>
      </w:pPr>
      <w:r>
        <w:rPr>
          <w:rFonts w:hint="eastAsia" w:ascii="仿宋" w:hAnsi="仿宋"/>
        </w:rPr>
        <w:t>期货公司应当设立合规审查部门或者岗位，审查和稽核期货公司经营管理的合法合规性。</w:t>
      </w:r>
    </w:p>
    <w:p>
      <w:pPr>
        <w:pStyle w:val="5"/>
      </w:pPr>
      <w:r>
        <w:rPr>
          <w:rFonts w:hint="eastAsia"/>
        </w:rPr>
        <w:t>12、分支机构管理及业务范围</w:t>
      </w:r>
    </w:p>
    <w:p>
      <w:pPr>
        <w:spacing w:line="360" w:lineRule="auto"/>
        <w:ind w:firstLine="480" w:firstLineChars="200"/>
        <w:rPr>
          <w:rFonts w:ascii="仿宋" w:hAnsi="仿宋"/>
        </w:rPr>
      </w:pPr>
      <w:r>
        <w:rPr>
          <w:rFonts w:hint="eastAsia" w:ascii="仿宋" w:hAnsi="仿宋"/>
        </w:rPr>
        <w:t>依据：第四十四条</w:t>
      </w:r>
    </w:p>
    <w:p>
      <w:pPr>
        <w:spacing w:line="360" w:lineRule="auto"/>
        <w:ind w:firstLine="480" w:firstLineChars="200"/>
        <w:rPr>
          <w:rFonts w:ascii="仿宋" w:hAnsi="仿宋"/>
        </w:rPr>
      </w:pPr>
      <w:r>
        <w:rPr>
          <w:rFonts w:hint="eastAsia" w:ascii="仿宋" w:hAnsi="仿宋"/>
        </w:rPr>
        <w:t>第四十四条 期货公司应当对分支机构实行集中统一管理，不得与他人合资、合作经营管理分支机构，不得将分支机构承包、租赁或者委托给他人经营管理。</w:t>
      </w:r>
    </w:p>
    <w:p>
      <w:pPr>
        <w:spacing w:line="360" w:lineRule="auto"/>
        <w:ind w:firstLine="480" w:firstLineChars="200"/>
        <w:rPr>
          <w:rFonts w:ascii="仿宋" w:hAnsi="仿宋"/>
        </w:rPr>
      </w:pPr>
      <w:r>
        <w:rPr>
          <w:rFonts w:hint="eastAsia" w:ascii="仿宋" w:hAnsi="仿宋"/>
        </w:rPr>
        <w:t>分支机构经营的业务不得超出期货公司的业务范围，并应当符合中国证监会对相关业务的规定。</w:t>
      </w:r>
    </w:p>
    <w:p>
      <w:pPr>
        <w:spacing w:line="360" w:lineRule="auto"/>
        <w:ind w:firstLine="480" w:firstLineChars="200"/>
        <w:rPr>
          <w:rFonts w:ascii="仿宋" w:hAnsi="仿宋"/>
        </w:rPr>
      </w:pPr>
      <w:r>
        <w:rPr>
          <w:rFonts w:hint="eastAsia" w:ascii="仿宋" w:hAnsi="仿宋"/>
        </w:rPr>
        <w:t>期货公司应当按照规定对营业部实行统一结算、统一风险管理、统一资金调拨、统一财务管理和会计核算。</w:t>
      </w:r>
    </w:p>
    <w:p>
      <w:pPr>
        <w:pStyle w:val="5"/>
      </w:pPr>
      <w:r>
        <w:rPr>
          <w:rFonts w:hint="eastAsia"/>
        </w:rPr>
        <w:t>13、客户保证金的权属保护</w:t>
      </w:r>
    </w:p>
    <w:p>
      <w:pPr>
        <w:spacing w:line="360" w:lineRule="auto"/>
        <w:ind w:firstLine="480" w:firstLineChars="200"/>
        <w:rPr>
          <w:rFonts w:ascii="仿宋" w:hAnsi="仿宋"/>
        </w:rPr>
      </w:pPr>
      <w:r>
        <w:rPr>
          <w:rFonts w:hint="eastAsia" w:ascii="仿宋" w:hAnsi="仿宋"/>
        </w:rPr>
        <w:t>保证金禁止占用、挪用；保证金不属于破产财产或者清算财产；保证金不得查封、冻结、扣划或者强制执行。</w:t>
      </w:r>
    </w:p>
    <w:p>
      <w:pPr>
        <w:spacing w:line="360" w:lineRule="auto"/>
        <w:ind w:firstLine="480" w:firstLineChars="200"/>
        <w:rPr>
          <w:rFonts w:ascii="仿宋" w:hAnsi="仿宋"/>
        </w:rPr>
      </w:pPr>
      <w:r>
        <w:rPr>
          <w:rFonts w:hint="eastAsia" w:ascii="仿宋" w:hAnsi="仿宋"/>
        </w:rPr>
        <w:t>依据：第六十九条 第七十六条第一款</w:t>
      </w:r>
    </w:p>
    <w:p>
      <w:pPr>
        <w:spacing w:line="360" w:lineRule="auto"/>
        <w:ind w:firstLine="480" w:firstLineChars="200"/>
        <w:rPr>
          <w:rFonts w:ascii="仿宋" w:hAnsi="仿宋"/>
        </w:rPr>
      </w:pPr>
      <w:r>
        <w:rPr>
          <w:rFonts w:hint="eastAsia" w:ascii="仿宋" w:hAnsi="仿宋"/>
        </w:rPr>
        <w:t>第六十九条　客户的保证金和委托资产属于客户资产，归客户所有。客户资产应当与期货公司的自有资产相互独立、分别管理。非因客户本身的债务或者法律、行政法规规定的其他情形，不得查封、冻结、扣划或者强制执行客户资产。期货公司破产或者清算时，客户资产不属于破产财产或者清算财产。</w:t>
      </w:r>
    </w:p>
    <w:p>
      <w:pPr>
        <w:spacing w:line="360" w:lineRule="auto"/>
        <w:ind w:firstLine="480" w:firstLineChars="200"/>
        <w:rPr>
          <w:rFonts w:ascii="仿宋" w:hAnsi="仿宋"/>
        </w:rPr>
      </w:pPr>
      <w:r>
        <w:rPr>
          <w:rFonts w:hint="eastAsia" w:ascii="仿宋" w:hAnsi="仿宋"/>
        </w:rPr>
        <w:t>第七十六条 除依据《期货交易管理条例》第二十九条划转外，任何单位或者个人不得以任何形式占用、挪用客户保证金。</w:t>
      </w:r>
    </w:p>
    <w:p>
      <w:pPr>
        <w:pStyle w:val="5"/>
      </w:pPr>
      <w:r>
        <w:rPr>
          <w:rFonts w:hint="eastAsia"/>
        </w:rPr>
        <w:t>14、期货保证金账户</w:t>
      </w:r>
    </w:p>
    <w:p>
      <w:pPr>
        <w:spacing w:line="360" w:lineRule="auto"/>
        <w:ind w:firstLine="480" w:firstLineChars="200"/>
        <w:rPr>
          <w:rFonts w:ascii="仿宋" w:hAnsi="仿宋"/>
        </w:rPr>
      </w:pPr>
      <w:r>
        <w:rPr>
          <w:rFonts w:hint="eastAsia" w:ascii="仿宋" w:hAnsi="仿宋"/>
        </w:rPr>
        <w:t>期货保证金账户开立、备案、披露要求。</w:t>
      </w:r>
    </w:p>
    <w:p>
      <w:pPr>
        <w:spacing w:line="360" w:lineRule="auto"/>
        <w:ind w:firstLine="480" w:firstLineChars="200"/>
        <w:rPr>
          <w:rFonts w:ascii="仿宋" w:hAnsi="仿宋"/>
        </w:rPr>
      </w:pPr>
      <w:r>
        <w:rPr>
          <w:rFonts w:hint="eastAsia" w:ascii="仿宋" w:hAnsi="仿宋"/>
        </w:rPr>
        <w:t>依据：第七十条</w:t>
      </w:r>
    </w:p>
    <w:p>
      <w:pPr>
        <w:spacing w:line="360" w:lineRule="auto"/>
        <w:ind w:firstLine="480" w:firstLineChars="200"/>
        <w:rPr>
          <w:rFonts w:ascii="仿宋" w:hAnsi="仿宋"/>
        </w:rPr>
      </w:pPr>
      <w:r>
        <w:rPr>
          <w:rFonts w:hint="eastAsia" w:ascii="仿宋" w:hAnsi="仿宋"/>
        </w:rPr>
        <w:t>第七十条 期货公司应当在期货保证金存管银行开立期货保证金账户。</w:t>
      </w:r>
    </w:p>
    <w:p>
      <w:pPr>
        <w:spacing w:line="360" w:lineRule="auto"/>
        <w:ind w:firstLine="480" w:firstLineChars="200"/>
        <w:rPr>
          <w:rFonts w:ascii="仿宋" w:hAnsi="仿宋"/>
        </w:rPr>
      </w:pPr>
      <w:r>
        <w:rPr>
          <w:rFonts w:hint="eastAsia" w:ascii="仿宋" w:hAnsi="仿宋"/>
        </w:rPr>
        <w:t>期货公司开立、变更或者撤销期货保证金账户的，应于当日向期货保证金安全存管监控机构备案，并通过规定方式向客户披露账户开立、变更或者撤销情况。</w:t>
      </w:r>
    </w:p>
    <w:p>
      <w:pPr>
        <w:pStyle w:val="5"/>
      </w:pPr>
      <w:r>
        <w:rPr>
          <w:rFonts w:hint="eastAsia"/>
        </w:rPr>
        <w:t>15、保证金存放</w:t>
      </w:r>
    </w:p>
    <w:p>
      <w:pPr>
        <w:spacing w:line="360" w:lineRule="auto"/>
        <w:ind w:firstLine="480" w:firstLineChars="200"/>
        <w:rPr>
          <w:rFonts w:ascii="仿宋" w:hAnsi="仿宋"/>
        </w:rPr>
      </w:pPr>
      <w:r>
        <w:rPr>
          <w:rFonts w:hint="eastAsia" w:ascii="仿宋" w:hAnsi="仿宋"/>
        </w:rPr>
        <w:t>全额存放在期货保证金账户和期货交易所专用结算账户内。</w:t>
      </w:r>
    </w:p>
    <w:p>
      <w:pPr>
        <w:spacing w:line="360" w:lineRule="auto"/>
        <w:ind w:firstLine="480" w:firstLineChars="200"/>
        <w:rPr>
          <w:rFonts w:ascii="仿宋" w:hAnsi="仿宋"/>
        </w:rPr>
      </w:pPr>
      <w:r>
        <w:rPr>
          <w:rFonts w:hint="eastAsia" w:ascii="仿宋" w:hAnsi="仿宋"/>
        </w:rPr>
        <w:t>依据：第七十二条</w:t>
      </w:r>
    </w:p>
    <w:p>
      <w:pPr>
        <w:spacing w:line="360" w:lineRule="auto"/>
        <w:ind w:firstLine="480" w:firstLineChars="200"/>
        <w:rPr>
          <w:rFonts w:ascii="仿宋" w:hAnsi="仿宋"/>
        </w:rPr>
      </w:pPr>
      <w:r>
        <w:rPr>
          <w:rFonts w:hint="eastAsia" w:ascii="仿宋" w:hAnsi="仿宋"/>
        </w:rPr>
        <w:t>第七十二条 期货公司存管的客户保证金应当全额存放在期货保证金账户和期货交易所专用结算账户内，严禁在期货保证金账户和期货交易所专用结算账户之外存放。</w:t>
      </w:r>
    </w:p>
    <w:p>
      <w:pPr>
        <w:pStyle w:val="5"/>
      </w:pPr>
      <w:r>
        <w:rPr>
          <w:rFonts w:hint="eastAsia"/>
        </w:rPr>
        <w:t>16、保证金存取形式</w:t>
      </w:r>
    </w:p>
    <w:p>
      <w:pPr>
        <w:spacing w:line="360" w:lineRule="auto"/>
        <w:ind w:firstLine="480" w:firstLineChars="200"/>
        <w:rPr>
          <w:rFonts w:ascii="仿宋" w:hAnsi="仿宋"/>
        </w:rPr>
      </w:pPr>
      <w:r>
        <w:rPr>
          <w:rFonts w:hint="eastAsia" w:ascii="仿宋" w:hAnsi="仿宋"/>
        </w:rPr>
        <w:t>转账方式存取</w:t>
      </w:r>
    </w:p>
    <w:p>
      <w:pPr>
        <w:spacing w:line="360" w:lineRule="auto"/>
        <w:ind w:firstLine="480" w:firstLineChars="200"/>
        <w:rPr>
          <w:rFonts w:ascii="仿宋" w:hAnsi="仿宋"/>
        </w:rPr>
      </w:pPr>
      <w:r>
        <w:rPr>
          <w:rFonts w:hint="eastAsia" w:ascii="仿宋" w:hAnsi="仿宋"/>
        </w:rPr>
        <w:t>依据：第七十一条第二款</w:t>
      </w:r>
    </w:p>
    <w:p>
      <w:pPr>
        <w:spacing w:line="360" w:lineRule="auto"/>
        <w:ind w:firstLine="480" w:firstLineChars="200"/>
        <w:rPr>
          <w:rFonts w:ascii="仿宋" w:hAnsi="仿宋"/>
        </w:rPr>
      </w:pPr>
      <w:r>
        <w:rPr>
          <w:rFonts w:hint="eastAsia" w:ascii="仿宋" w:hAnsi="仿宋"/>
        </w:rPr>
        <w:t>第七十一条　客户应当向期货公司登记以本人名义开立的用于存取期货保证金的结算账户。</w:t>
      </w:r>
    </w:p>
    <w:p>
      <w:pPr>
        <w:spacing w:line="360" w:lineRule="auto"/>
        <w:ind w:firstLine="480" w:firstLineChars="200"/>
        <w:rPr>
          <w:rFonts w:ascii="仿宋" w:hAnsi="仿宋"/>
        </w:rPr>
      </w:pPr>
      <w:r>
        <w:rPr>
          <w:rFonts w:hint="eastAsia" w:ascii="仿宋" w:hAnsi="仿宋"/>
        </w:rPr>
        <w:t>期货公司和客户应当通过备案的期货保证金账户和登记的期货结算账户转账存取保证金。</w:t>
      </w:r>
    </w:p>
    <w:p>
      <w:pPr>
        <w:pStyle w:val="5"/>
      </w:pPr>
      <w:r>
        <w:rPr>
          <w:rFonts w:hint="eastAsia"/>
        </w:rPr>
        <w:t>17、禁止占用、挪用客户保证金</w:t>
      </w:r>
    </w:p>
    <w:p>
      <w:pPr>
        <w:spacing w:line="360" w:lineRule="auto"/>
        <w:ind w:firstLine="480" w:firstLineChars="200"/>
        <w:rPr>
          <w:rFonts w:ascii="仿宋" w:hAnsi="仿宋"/>
        </w:rPr>
      </w:pPr>
      <w:r>
        <w:rPr>
          <w:rFonts w:hint="eastAsia" w:ascii="仿宋" w:hAnsi="仿宋"/>
        </w:rPr>
        <w:t>依据：第七十六条第二款、第三款</w:t>
      </w:r>
    </w:p>
    <w:p>
      <w:pPr>
        <w:spacing w:line="360" w:lineRule="auto"/>
        <w:ind w:firstLine="480" w:firstLineChars="200"/>
        <w:rPr>
          <w:rFonts w:ascii="仿宋" w:hAnsi="仿宋"/>
        </w:rPr>
      </w:pPr>
      <w:r>
        <w:rPr>
          <w:rFonts w:hint="eastAsia" w:ascii="仿宋" w:hAnsi="仿宋"/>
        </w:rPr>
        <w:t>第七十六条　客户在期货交易中违约造成保证金不足的，期货公司应当以风险准备金和自有资金垫付，不得占用其他客户的保证金。</w:t>
      </w:r>
    </w:p>
    <w:p>
      <w:pPr>
        <w:spacing w:line="360" w:lineRule="auto"/>
        <w:ind w:firstLine="480" w:firstLineChars="200"/>
        <w:rPr>
          <w:rFonts w:ascii="仿宋" w:hAnsi="仿宋"/>
        </w:rPr>
      </w:pPr>
      <w:r>
        <w:rPr>
          <w:rFonts w:hint="eastAsia" w:ascii="仿宋" w:hAnsi="仿宋"/>
        </w:rPr>
        <w:t>期货公司应当按照规定提取、管理和使用风险准备金，不得挪作他用。</w:t>
      </w:r>
    </w:p>
    <w:p>
      <w:pPr>
        <w:pStyle w:val="5"/>
      </w:pPr>
      <w:r>
        <w:rPr>
          <w:rFonts w:hint="eastAsia"/>
        </w:rPr>
        <w:t>18、期货投资咨询业务禁止行为</w:t>
      </w:r>
    </w:p>
    <w:p>
      <w:pPr>
        <w:spacing w:line="360" w:lineRule="auto"/>
        <w:ind w:firstLine="480" w:firstLineChars="200"/>
        <w:rPr>
          <w:rFonts w:ascii="仿宋" w:hAnsi="仿宋"/>
        </w:rPr>
      </w:pPr>
      <w:r>
        <w:rPr>
          <w:rFonts w:hint="eastAsia" w:ascii="仿宋" w:hAnsi="仿宋"/>
        </w:rPr>
        <w:t>依据：第六十三条</w:t>
      </w:r>
    </w:p>
    <w:p>
      <w:pPr>
        <w:spacing w:line="360" w:lineRule="auto"/>
        <w:ind w:firstLine="480" w:firstLineChars="200"/>
        <w:rPr>
          <w:rFonts w:ascii="仿宋" w:hAnsi="仿宋"/>
        </w:rPr>
      </w:pPr>
      <w:r>
        <w:rPr>
          <w:rFonts w:hint="eastAsia" w:ascii="仿宋" w:hAnsi="仿宋"/>
        </w:rPr>
        <w:t>第六十三条 期货公司及其从业人员从事期货投资咨询业务，不得有下列行为：</w:t>
      </w:r>
    </w:p>
    <w:p>
      <w:pPr>
        <w:spacing w:line="360" w:lineRule="auto"/>
        <w:ind w:firstLine="480" w:firstLineChars="200"/>
        <w:rPr>
          <w:rFonts w:ascii="仿宋" w:hAnsi="仿宋"/>
        </w:rPr>
      </w:pPr>
      <w:r>
        <w:rPr>
          <w:rFonts w:hint="eastAsia" w:ascii="仿宋" w:hAnsi="仿宋"/>
        </w:rPr>
        <w:t>（一）向客户做获利保证；</w:t>
      </w:r>
    </w:p>
    <w:p>
      <w:pPr>
        <w:spacing w:line="360" w:lineRule="auto"/>
        <w:ind w:firstLine="480" w:firstLineChars="200"/>
        <w:rPr>
          <w:rFonts w:ascii="仿宋" w:hAnsi="仿宋"/>
        </w:rPr>
      </w:pPr>
      <w:r>
        <w:rPr>
          <w:rFonts w:hint="eastAsia" w:ascii="仿宋" w:hAnsi="仿宋"/>
        </w:rPr>
        <w:t>（二）以虚假信息、市场传言或者内幕信息为依据向客户提供期货投资咨询服务；</w:t>
      </w:r>
    </w:p>
    <w:p>
      <w:pPr>
        <w:spacing w:line="360" w:lineRule="auto"/>
        <w:ind w:firstLine="480" w:firstLineChars="200"/>
        <w:rPr>
          <w:rFonts w:ascii="仿宋" w:hAnsi="仿宋"/>
        </w:rPr>
      </w:pPr>
      <w:r>
        <w:rPr>
          <w:rFonts w:hint="eastAsia" w:ascii="仿宋" w:hAnsi="仿宋"/>
        </w:rPr>
        <w:t>（三）对价格涨跌或者市场走势做出确定性的判断；</w:t>
      </w:r>
    </w:p>
    <w:p>
      <w:pPr>
        <w:spacing w:line="360" w:lineRule="auto"/>
        <w:ind w:firstLine="480" w:firstLineChars="200"/>
        <w:rPr>
          <w:rFonts w:ascii="仿宋" w:hAnsi="仿宋"/>
        </w:rPr>
      </w:pPr>
      <w:r>
        <w:rPr>
          <w:rFonts w:hint="eastAsia" w:ascii="仿宋" w:hAnsi="仿宋"/>
        </w:rPr>
        <w:t>（四）利用向客户提供投资建议谋取不正当利益；</w:t>
      </w:r>
    </w:p>
    <w:p>
      <w:pPr>
        <w:spacing w:line="360" w:lineRule="auto"/>
        <w:ind w:firstLine="480" w:firstLineChars="200"/>
        <w:rPr>
          <w:rFonts w:ascii="仿宋" w:hAnsi="仿宋"/>
        </w:rPr>
      </w:pPr>
      <w:r>
        <w:rPr>
          <w:rFonts w:hint="eastAsia" w:ascii="仿宋" w:hAnsi="仿宋"/>
        </w:rPr>
        <w:t>（五）利用期货投资咨询活动传播虚假、误导性信息；</w:t>
      </w:r>
    </w:p>
    <w:p>
      <w:pPr>
        <w:spacing w:line="360" w:lineRule="auto"/>
        <w:ind w:firstLine="480" w:firstLineChars="200"/>
        <w:rPr>
          <w:rFonts w:ascii="仿宋" w:hAnsi="仿宋"/>
        </w:rPr>
      </w:pPr>
      <w:r>
        <w:rPr>
          <w:rFonts w:hint="eastAsia" w:ascii="仿宋" w:hAnsi="仿宋"/>
        </w:rPr>
        <w:t>（六）以个人名义收取服务报酬；</w:t>
      </w:r>
    </w:p>
    <w:p>
      <w:pPr>
        <w:spacing w:line="360" w:lineRule="auto"/>
        <w:ind w:firstLine="480" w:firstLineChars="200"/>
        <w:rPr>
          <w:rFonts w:ascii="仿宋" w:hAnsi="仿宋"/>
        </w:rPr>
      </w:pPr>
      <w:r>
        <w:rPr>
          <w:rFonts w:hint="eastAsia" w:ascii="仿宋" w:hAnsi="仿宋"/>
        </w:rPr>
        <w:t>（七）法律、行政法规和中国证监会规定禁止的其他行为。</w:t>
      </w:r>
    </w:p>
    <w:p>
      <w:pPr>
        <w:pStyle w:val="5"/>
      </w:pPr>
      <w:r>
        <w:rPr>
          <w:rFonts w:hint="eastAsia"/>
        </w:rPr>
        <w:t>19、资产管理业务登记备案要求、业务范围、投资范围及禁止行为</w:t>
      </w:r>
    </w:p>
    <w:p>
      <w:r>
        <w:rPr>
          <w:rFonts w:hint="eastAsia"/>
        </w:rPr>
        <w:t xml:space="preserve">    依据：第十三条、第六十六条、第六十七条、第六十八条</w:t>
      </w:r>
    </w:p>
    <w:p>
      <w:pPr>
        <w:widowControl/>
        <w:spacing w:line="360" w:lineRule="auto"/>
        <w:ind w:firstLine="480" w:firstLineChars="200"/>
        <w:jc w:val="left"/>
        <w:rPr>
          <w:rFonts w:ascii="仿宋" w:hAnsi="仿宋"/>
        </w:rPr>
      </w:pPr>
      <w:r>
        <w:rPr>
          <w:rFonts w:hint="eastAsia" w:ascii="仿宋" w:hAnsi="仿宋"/>
        </w:rPr>
        <w:t>第十三条 按照本办法设立的期货公司，可以依法从事商品期货经纪业务；从事金融期货经纪、境外期货经纪、期货投资咨询的，应当取得相应业务资格。从事资产管理业务的，应当依法登记备案。</w:t>
      </w:r>
    </w:p>
    <w:p>
      <w:pPr>
        <w:widowControl/>
        <w:spacing w:line="360" w:lineRule="auto"/>
        <w:ind w:firstLine="480" w:firstLineChars="200"/>
        <w:jc w:val="left"/>
        <w:rPr>
          <w:rFonts w:ascii="仿宋" w:hAnsi="仿宋"/>
        </w:rPr>
      </w:pPr>
      <w:r>
        <w:rPr>
          <w:rFonts w:hint="eastAsia" w:ascii="仿宋" w:hAnsi="仿宋"/>
        </w:rPr>
        <w:t>期货公司经批准可以从事中国证监会规定的其他业务。</w:t>
      </w:r>
    </w:p>
    <w:p>
      <w:pPr>
        <w:widowControl/>
        <w:spacing w:line="360" w:lineRule="auto"/>
        <w:ind w:firstLine="480" w:firstLineChars="200"/>
        <w:jc w:val="left"/>
        <w:rPr>
          <w:rFonts w:ascii="仿宋" w:hAnsi="仿宋"/>
        </w:rPr>
      </w:pPr>
      <w:r>
        <w:rPr>
          <w:rFonts w:hint="eastAsia" w:ascii="仿宋" w:hAnsi="仿宋"/>
        </w:rPr>
        <w:t>第六十六条 期货公司可以依法从事下列资产管理业务：</w:t>
      </w:r>
    </w:p>
    <w:p>
      <w:pPr>
        <w:widowControl/>
        <w:spacing w:line="360" w:lineRule="auto"/>
        <w:ind w:firstLine="480" w:firstLineChars="200"/>
        <w:jc w:val="left"/>
        <w:rPr>
          <w:rFonts w:ascii="仿宋" w:hAnsi="仿宋"/>
        </w:rPr>
      </w:pPr>
      <w:r>
        <w:rPr>
          <w:rFonts w:hint="eastAsia" w:ascii="仿宋" w:hAnsi="仿宋"/>
        </w:rPr>
        <w:t>（一）为单一客户办理资产管理业务；</w:t>
      </w:r>
    </w:p>
    <w:p>
      <w:pPr>
        <w:widowControl/>
        <w:spacing w:line="360" w:lineRule="auto"/>
        <w:ind w:firstLine="480" w:firstLineChars="200"/>
        <w:jc w:val="left"/>
        <w:rPr>
          <w:rFonts w:ascii="仿宋" w:hAnsi="仿宋"/>
        </w:rPr>
      </w:pPr>
      <w:r>
        <w:rPr>
          <w:rFonts w:hint="eastAsia" w:ascii="仿宋" w:hAnsi="仿宋"/>
        </w:rPr>
        <w:t>（二）为特定多个客户办理资产管理业务。</w:t>
      </w:r>
    </w:p>
    <w:p>
      <w:pPr>
        <w:widowControl/>
        <w:spacing w:line="360" w:lineRule="auto"/>
        <w:ind w:firstLine="480" w:firstLineChars="200"/>
        <w:jc w:val="left"/>
        <w:rPr>
          <w:rFonts w:ascii="仿宋" w:hAnsi="仿宋"/>
        </w:rPr>
      </w:pPr>
      <w:r>
        <w:rPr>
          <w:rFonts w:hint="eastAsia" w:ascii="仿宋" w:hAnsi="仿宋"/>
        </w:rPr>
        <w:t>第六十七条 资产管理业务的投资范围包括：</w:t>
      </w:r>
    </w:p>
    <w:p>
      <w:pPr>
        <w:widowControl/>
        <w:spacing w:line="360" w:lineRule="auto"/>
        <w:ind w:firstLine="480" w:firstLineChars="200"/>
        <w:jc w:val="left"/>
        <w:rPr>
          <w:rFonts w:ascii="仿宋" w:hAnsi="仿宋"/>
        </w:rPr>
      </w:pPr>
      <w:r>
        <w:rPr>
          <w:rFonts w:hint="eastAsia" w:ascii="仿宋" w:hAnsi="仿宋"/>
        </w:rPr>
        <w:t>（一）期货、期权及其他金融衍生产品；</w:t>
      </w:r>
    </w:p>
    <w:p>
      <w:pPr>
        <w:widowControl/>
        <w:spacing w:line="360" w:lineRule="auto"/>
        <w:ind w:firstLine="480" w:firstLineChars="200"/>
        <w:jc w:val="left"/>
        <w:rPr>
          <w:rFonts w:ascii="仿宋" w:hAnsi="仿宋"/>
        </w:rPr>
      </w:pPr>
      <w:r>
        <w:rPr>
          <w:rFonts w:hint="eastAsia" w:ascii="仿宋" w:hAnsi="仿宋"/>
        </w:rPr>
        <w:t>（二）股票、债券、证券投资基金、集合资产管理计划、央行票据、短期融资券、资产支持证券等；</w:t>
      </w:r>
    </w:p>
    <w:p>
      <w:pPr>
        <w:widowControl/>
        <w:spacing w:line="360" w:lineRule="auto"/>
        <w:ind w:firstLine="480" w:firstLineChars="200"/>
        <w:jc w:val="left"/>
        <w:rPr>
          <w:rFonts w:ascii="仿宋" w:hAnsi="仿宋"/>
        </w:rPr>
      </w:pPr>
      <w:r>
        <w:rPr>
          <w:rFonts w:hint="eastAsia" w:ascii="仿宋" w:hAnsi="仿宋"/>
        </w:rPr>
        <w:t>（三）中国证监会认可的其他投资品种。</w:t>
      </w:r>
    </w:p>
    <w:p>
      <w:pPr>
        <w:widowControl/>
        <w:spacing w:line="360" w:lineRule="auto"/>
        <w:ind w:firstLine="480" w:firstLineChars="200"/>
        <w:jc w:val="left"/>
        <w:rPr>
          <w:rFonts w:ascii="仿宋" w:hAnsi="仿宋"/>
        </w:rPr>
      </w:pPr>
      <w:r>
        <w:rPr>
          <w:rFonts w:hint="eastAsia" w:ascii="仿宋" w:hAnsi="仿宋"/>
        </w:rPr>
        <w:t>第六十八条 期货公司及其从业人员从事资产管理业务，不得有下列行为：</w:t>
      </w:r>
    </w:p>
    <w:p>
      <w:pPr>
        <w:widowControl/>
        <w:spacing w:line="360" w:lineRule="auto"/>
        <w:ind w:firstLine="480" w:firstLineChars="200"/>
        <w:jc w:val="left"/>
        <w:rPr>
          <w:rFonts w:ascii="仿宋" w:hAnsi="仿宋"/>
        </w:rPr>
      </w:pPr>
      <w:r>
        <w:rPr>
          <w:rFonts w:hint="eastAsia" w:ascii="仿宋" w:hAnsi="仿宋"/>
        </w:rPr>
        <w:t>（一）以欺诈手段或者其他不当方式误导、诱导客户；</w:t>
      </w:r>
    </w:p>
    <w:p>
      <w:pPr>
        <w:widowControl/>
        <w:spacing w:line="360" w:lineRule="auto"/>
        <w:ind w:firstLine="480" w:firstLineChars="200"/>
        <w:jc w:val="left"/>
        <w:rPr>
          <w:rFonts w:ascii="仿宋" w:hAnsi="仿宋"/>
        </w:rPr>
      </w:pPr>
      <w:r>
        <w:rPr>
          <w:rFonts w:hint="eastAsia" w:ascii="仿宋" w:hAnsi="仿宋"/>
        </w:rPr>
        <w:t>（二）向客户做出保证其资产本金不受损失或者取得最低收益的承诺；</w:t>
      </w:r>
    </w:p>
    <w:p>
      <w:pPr>
        <w:widowControl/>
        <w:spacing w:line="360" w:lineRule="auto"/>
        <w:ind w:firstLine="480" w:firstLineChars="200"/>
        <w:jc w:val="left"/>
        <w:rPr>
          <w:rFonts w:ascii="仿宋" w:hAnsi="仿宋"/>
        </w:rPr>
      </w:pPr>
      <w:r>
        <w:rPr>
          <w:rFonts w:hint="eastAsia" w:ascii="仿宋" w:hAnsi="仿宋"/>
        </w:rPr>
        <w:t>（三）接受客户委托的初始资产低于中国证监会规定的最低限额；</w:t>
      </w:r>
    </w:p>
    <w:p>
      <w:pPr>
        <w:widowControl/>
        <w:spacing w:line="360" w:lineRule="auto"/>
        <w:ind w:firstLine="480" w:firstLineChars="200"/>
        <w:jc w:val="left"/>
        <w:rPr>
          <w:rFonts w:ascii="仿宋" w:hAnsi="仿宋"/>
        </w:rPr>
      </w:pPr>
      <w:r>
        <w:rPr>
          <w:rFonts w:hint="eastAsia" w:ascii="仿宋" w:hAnsi="仿宋"/>
        </w:rPr>
        <w:t>（四）占用、挪用客户委托资产；</w:t>
      </w:r>
    </w:p>
    <w:p>
      <w:pPr>
        <w:widowControl/>
        <w:spacing w:line="360" w:lineRule="auto"/>
        <w:ind w:firstLine="480" w:firstLineChars="200"/>
        <w:jc w:val="left"/>
        <w:rPr>
          <w:rFonts w:ascii="仿宋" w:hAnsi="仿宋"/>
        </w:rPr>
      </w:pPr>
      <w:r>
        <w:rPr>
          <w:rFonts w:hint="eastAsia" w:ascii="仿宋" w:hAnsi="仿宋"/>
        </w:rPr>
        <w:t>（五）以转移资产管理账户收益或者亏损为目的，在不同账户之间进行买卖，损害客户利益；</w:t>
      </w:r>
    </w:p>
    <w:p>
      <w:pPr>
        <w:widowControl/>
        <w:spacing w:line="360" w:lineRule="auto"/>
        <w:ind w:firstLine="480" w:firstLineChars="200"/>
        <w:jc w:val="left"/>
        <w:rPr>
          <w:rFonts w:ascii="仿宋" w:hAnsi="仿宋"/>
        </w:rPr>
      </w:pPr>
      <w:r>
        <w:rPr>
          <w:rFonts w:hint="eastAsia" w:ascii="仿宋" w:hAnsi="仿宋"/>
        </w:rPr>
        <w:t>（六）以获取佣金或者其他利益为目的，使用客户资产进行不必要的交易；</w:t>
      </w:r>
    </w:p>
    <w:p>
      <w:pPr>
        <w:widowControl/>
        <w:spacing w:line="360" w:lineRule="auto"/>
        <w:ind w:firstLine="480" w:firstLineChars="200"/>
        <w:jc w:val="left"/>
        <w:rPr>
          <w:rFonts w:ascii="仿宋" w:hAnsi="仿宋"/>
        </w:rPr>
      </w:pPr>
      <w:r>
        <w:rPr>
          <w:rFonts w:hint="eastAsia" w:ascii="仿宋" w:hAnsi="仿宋"/>
        </w:rPr>
        <w:t>（七）利用管理的客户资产为第三方谋取不正当利益，进行利益输送；</w:t>
      </w:r>
    </w:p>
    <w:p>
      <w:pPr>
        <w:widowControl/>
        <w:spacing w:line="360" w:lineRule="auto"/>
        <w:ind w:firstLine="480" w:firstLineChars="200"/>
        <w:jc w:val="left"/>
        <w:rPr>
          <w:rFonts w:ascii="仿宋" w:hAnsi="仿宋"/>
        </w:rPr>
      </w:pPr>
      <w:r>
        <w:rPr>
          <w:rFonts w:hint="eastAsia" w:ascii="仿宋" w:hAnsi="仿宋"/>
        </w:rPr>
        <w:t>（八）法律、行政法规以及中国证监会规定禁止的其他行为。</w:t>
      </w:r>
    </w:p>
    <w:p>
      <w:pPr>
        <w:widowControl/>
        <w:spacing w:line="360" w:lineRule="auto"/>
        <w:jc w:val="left"/>
        <w:rPr>
          <w:rFonts w:ascii="仿宋" w:hAnsi="仿宋"/>
        </w:rPr>
      </w:pPr>
    </w:p>
    <w:p>
      <w:pPr>
        <w:pStyle w:val="5"/>
      </w:pPr>
      <w:r>
        <w:rPr>
          <w:rFonts w:hint="eastAsia"/>
        </w:rPr>
        <w:t>20、期货公司可参与的交易场所范围</w:t>
      </w:r>
    </w:p>
    <w:p>
      <w:pPr>
        <w:widowControl/>
        <w:spacing w:line="360" w:lineRule="auto"/>
        <w:ind w:firstLine="465"/>
        <w:jc w:val="left"/>
        <w:rPr>
          <w:rFonts w:ascii="仿宋" w:hAnsi="仿宋"/>
        </w:rPr>
      </w:pPr>
      <w:r>
        <w:rPr>
          <w:rFonts w:hint="eastAsia" w:ascii="仿宋" w:hAnsi="仿宋"/>
        </w:rPr>
        <w:t>依据：第九十八条</w:t>
      </w:r>
    </w:p>
    <w:p>
      <w:pPr>
        <w:widowControl/>
        <w:spacing w:line="360" w:lineRule="auto"/>
        <w:ind w:firstLine="465"/>
        <w:jc w:val="left"/>
        <w:rPr>
          <w:rFonts w:ascii="仿宋" w:hAnsi="仿宋"/>
        </w:rPr>
      </w:pPr>
      <w:r>
        <w:rPr>
          <w:rFonts w:hint="eastAsia" w:ascii="仿宋" w:hAnsi="仿宋"/>
        </w:rPr>
        <w:t>第九十八条 期货公司参与其他交易场所交易的，应当遵守法律、行政法规及其他交易场所业务规则的规定。</w:t>
      </w:r>
    </w:p>
    <w:p/>
    <w:p>
      <w:pPr>
        <w:pStyle w:val="4"/>
        <w:numPr>
          <w:ilvl w:val="0"/>
          <w:numId w:val="2"/>
        </w:numPr>
        <w:rPr>
          <w:szCs w:val="24"/>
        </w:rPr>
      </w:pPr>
      <w:bookmarkStart w:id="134" w:name="_Toc3896726"/>
      <w:r>
        <w:rPr>
          <w:rFonts w:hint="eastAsia"/>
          <w:szCs w:val="24"/>
        </w:rPr>
        <w:t>《外商投资期货公司管理办法》</w:t>
      </w:r>
      <w:bookmarkEnd w:id="134"/>
    </w:p>
    <w:p>
      <w:pPr>
        <w:pStyle w:val="5"/>
        <w:spacing w:before="0" w:after="0" w:line="560" w:lineRule="exact"/>
      </w:pPr>
      <w:r>
        <w:rPr>
          <w:rFonts w:hint="eastAsia"/>
        </w:rPr>
        <w:t>1、外商投资期货公司</w:t>
      </w:r>
    </w:p>
    <w:p>
      <w:pPr>
        <w:spacing w:line="560" w:lineRule="exact"/>
        <w:ind w:firstLine="460"/>
      </w:pPr>
      <w:r>
        <w:rPr>
          <w:rFonts w:ascii="宋体" w:hAnsi="宋体"/>
        </w:rPr>
        <w:t>外商投资期货公司是指单一或有关联关系的多个境外股东直接持有或间接控制公司5%以上股权的期货公司</w:t>
      </w:r>
      <w:r>
        <w:rPr>
          <w:rFonts w:hint="eastAsia" w:ascii="宋体" w:hAnsi="宋体"/>
        </w:rPr>
        <w:t>。</w:t>
      </w:r>
    </w:p>
    <w:p>
      <w:pPr>
        <w:spacing w:line="560" w:lineRule="exact"/>
      </w:pPr>
      <w:r>
        <w:rPr>
          <w:rFonts w:hint="eastAsia"/>
        </w:rPr>
        <w:t>依据：第二条</w:t>
      </w:r>
    </w:p>
    <w:p>
      <w:pPr>
        <w:spacing w:line="560" w:lineRule="exact"/>
        <w:ind w:firstLine="460"/>
      </w:pPr>
      <w:r>
        <w:rPr>
          <w:rFonts w:ascii="宋体" w:hAnsi="宋体"/>
        </w:rPr>
        <w:t>第二条 本办法所称外商投资期货公司是指单一或有关联关系的多个境外股东直接持有或间接控制公司5%以上股权的期货公司。</w:t>
      </w:r>
    </w:p>
    <w:p>
      <w:pPr>
        <w:pStyle w:val="5"/>
        <w:numPr>
          <w:ilvl w:val="0"/>
          <w:numId w:val="3"/>
        </w:numPr>
        <w:spacing w:before="0" w:after="0" w:line="560" w:lineRule="exact"/>
      </w:pPr>
      <w:r>
        <w:rPr>
          <w:rFonts w:hint="eastAsia"/>
        </w:rPr>
        <w:t>监管主体</w:t>
      </w:r>
    </w:p>
    <w:p>
      <w:pPr>
        <w:spacing w:line="560" w:lineRule="exact"/>
        <w:ind w:firstLine="480" w:firstLineChars="200"/>
      </w:pPr>
      <w:r>
        <w:t>中国证监会及其派出机构依法对外商投资期货公司实施监督管理。</w:t>
      </w:r>
    </w:p>
    <w:p>
      <w:pPr>
        <w:spacing w:line="560" w:lineRule="exact"/>
        <w:ind w:firstLine="480" w:firstLineChars="200"/>
      </w:pPr>
      <w:r>
        <w:rPr>
          <w:rFonts w:hint="eastAsia"/>
        </w:rPr>
        <w:t>依据：第三条</w:t>
      </w:r>
    </w:p>
    <w:p>
      <w:pPr>
        <w:spacing w:line="560" w:lineRule="exact"/>
        <w:ind w:firstLine="480" w:firstLineChars="200"/>
      </w:pPr>
      <w:r>
        <w:t>第三条 中国证券监督管理委员会(以下简称中国证监会)及其派出机构依法对外商投资期货公司实施监督管理。</w:t>
      </w:r>
    </w:p>
    <w:p>
      <w:pPr>
        <w:spacing w:line="560" w:lineRule="exact"/>
      </w:pPr>
    </w:p>
    <w:p>
      <w:pPr>
        <w:pStyle w:val="5"/>
        <w:numPr>
          <w:ilvl w:val="0"/>
          <w:numId w:val="3"/>
        </w:numPr>
        <w:spacing w:before="0" w:after="0" w:line="560" w:lineRule="exact"/>
      </w:pPr>
      <w:r>
        <w:rPr>
          <w:rFonts w:hint="eastAsia"/>
        </w:rPr>
        <w:t>境外股东的条件</w:t>
      </w:r>
    </w:p>
    <w:p>
      <w:pPr>
        <w:spacing w:line="560" w:lineRule="exact"/>
        <w:ind w:firstLine="480" w:firstLineChars="200"/>
      </w:pPr>
      <w:r>
        <w:t>直接持有期货公司5%以上股权的境外股东，</w:t>
      </w:r>
      <w:r>
        <w:rPr>
          <w:rFonts w:hint="eastAsia"/>
        </w:rPr>
        <w:t>应当具备《期货公司监督管理办法》</w:t>
      </w:r>
      <w:r>
        <w:t>第七条和第九条</w:t>
      </w:r>
      <w:r>
        <w:rPr>
          <w:rFonts w:hint="eastAsia"/>
        </w:rPr>
        <w:t>以及《外商投资期货公司管理办法》规定的条件。</w:t>
      </w:r>
    </w:p>
    <w:p>
      <w:pPr>
        <w:spacing w:line="560" w:lineRule="exact"/>
      </w:pPr>
      <w:r>
        <w:t>有关联关系的多个境外股东合计持有期货公司5%以上股权的，每个境外股东均应具备上款所列条件。</w:t>
      </w:r>
    </w:p>
    <w:p>
      <w:pPr>
        <w:spacing w:line="560" w:lineRule="exact"/>
        <w:ind w:firstLine="480" w:firstLineChars="200"/>
      </w:pPr>
      <w:r>
        <w:rPr>
          <w:rFonts w:hint="eastAsia"/>
        </w:rPr>
        <w:t>依据：第五条</w:t>
      </w:r>
    </w:p>
    <w:p>
      <w:pPr>
        <w:spacing w:line="560" w:lineRule="exact"/>
        <w:ind w:firstLine="480" w:firstLineChars="200"/>
      </w:pPr>
      <w:r>
        <w:t>第五条</w:t>
      </w:r>
      <w:r>
        <w:rPr>
          <w:rFonts w:hint="eastAsia"/>
        </w:rPr>
        <w:t xml:space="preserve"> </w:t>
      </w:r>
      <w:r>
        <w:t>直接持有期货公司5%以上股权的境外股东，除应当符合《期货公司监督管理办法》第七条和第九条规定的条件外，还应当具备下列条件：</w:t>
      </w:r>
    </w:p>
    <w:p>
      <w:pPr>
        <w:spacing w:line="560" w:lineRule="exact"/>
      </w:pPr>
      <w:r>
        <w:t xml:space="preserve">     (一)持续经营5年以上，近3年未受到所在国家或者地区监管机构或者行政、司法机关的重大处罚;</w:t>
      </w:r>
    </w:p>
    <w:p>
      <w:pPr>
        <w:spacing w:line="560" w:lineRule="exact"/>
      </w:pPr>
      <w:r>
        <w:t xml:space="preserve">     (二)管理层具有良好的专业素质和管理能力;</w:t>
      </w:r>
    </w:p>
    <w:p>
      <w:pPr>
        <w:spacing w:line="560" w:lineRule="exact"/>
      </w:pPr>
      <w:r>
        <w:t xml:space="preserve">     (三)具有健全的内部控制制度和风险管理体系;</w:t>
      </w:r>
    </w:p>
    <w:p>
      <w:pPr>
        <w:spacing w:line="560" w:lineRule="exact"/>
        <w:ind w:firstLine="480" w:firstLineChars="200"/>
      </w:pPr>
      <w:r>
        <w:t xml:space="preserve"> (四)具有良好的国际声誉和经营业绩，近3年业务规模、收入、利润居于国际前列，近3年长期信用均保持在高水平;</w:t>
      </w:r>
    </w:p>
    <w:p>
      <w:pPr>
        <w:spacing w:line="560" w:lineRule="exact"/>
        <w:ind w:firstLine="480" w:firstLineChars="200"/>
      </w:pPr>
      <w:r>
        <w:t xml:space="preserve"> (五)中国证监会规定的其他审慎性条件。</w:t>
      </w:r>
    </w:p>
    <w:p>
      <w:pPr>
        <w:spacing w:line="560" w:lineRule="exact"/>
      </w:pPr>
      <w:r>
        <w:t>有关联关系的多个境外股东合计持有期货公司5%以上股权的，每个境外股东均应具备上款所列条件。</w:t>
      </w:r>
    </w:p>
    <w:p>
      <w:pPr>
        <w:spacing w:line="560" w:lineRule="exact"/>
      </w:pPr>
    </w:p>
    <w:p>
      <w:pPr>
        <w:pStyle w:val="5"/>
        <w:numPr>
          <w:ilvl w:val="0"/>
          <w:numId w:val="3"/>
        </w:numPr>
        <w:spacing w:before="0" w:after="0" w:line="560" w:lineRule="exact"/>
      </w:pPr>
      <w:r>
        <w:rPr>
          <w:rFonts w:hint="eastAsia"/>
        </w:rPr>
        <w:t>持股要求</w:t>
      </w:r>
    </w:p>
    <w:p>
      <w:pPr>
        <w:spacing w:line="560" w:lineRule="exact"/>
        <w:ind w:firstLine="460"/>
      </w:pPr>
      <w:r>
        <w:rPr>
          <w:rFonts w:ascii="宋体" w:hAnsi="宋体"/>
        </w:rPr>
        <w:t>境外投资者通过投资关系、协议或其他安排</w:t>
      </w:r>
      <w:r>
        <w:rPr>
          <w:rFonts w:hint="eastAsia" w:ascii="宋体" w:hAnsi="宋体"/>
        </w:rPr>
        <w:t>，实</w:t>
      </w:r>
      <w:r>
        <w:rPr>
          <w:rFonts w:ascii="宋体" w:hAnsi="宋体"/>
        </w:rPr>
        <w:t>际控制期货公司5%以上股权的，应当转为直接持股。通过中国境内证券公司间接持有期货公司股权及中国证监会规定的其他情形</w:t>
      </w:r>
      <w:r>
        <w:rPr>
          <w:rFonts w:hint="eastAsia" w:ascii="宋体" w:hAnsi="宋体"/>
        </w:rPr>
        <w:t>除外。</w:t>
      </w:r>
    </w:p>
    <w:p>
      <w:pPr>
        <w:spacing w:line="560" w:lineRule="exact"/>
        <w:ind w:firstLine="460"/>
      </w:pPr>
      <w:r>
        <w:rPr>
          <w:rFonts w:ascii="宋体" w:hAnsi="宋体"/>
        </w:rPr>
        <w:t>单独或与关联方、一致行动人共同实际控制期货公司5%以上股权的境外投资者，应当具备</w:t>
      </w:r>
      <w:r>
        <w:rPr>
          <w:rFonts w:hint="eastAsia"/>
        </w:rPr>
        <w:t>《外商投资期货公司管理办法》</w:t>
      </w:r>
      <w:r>
        <w:rPr>
          <w:rFonts w:ascii="宋体" w:hAnsi="宋体"/>
        </w:rPr>
        <w:t>第五条规定的条件。</w:t>
      </w:r>
    </w:p>
    <w:p>
      <w:pPr>
        <w:spacing w:line="560" w:lineRule="exact"/>
      </w:pPr>
      <w:r>
        <w:t>境外投资者依法通过证券交易所的证券交易持有或者通过协议、其他安排与他人共同持有上市期货公司股份达到5%以上的，应当具备</w:t>
      </w:r>
      <w:r>
        <w:rPr>
          <w:rFonts w:hint="eastAsia"/>
        </w:rPr>
        <w:t>《外商投资期货公司管理办法》</w:t>
      </w:r>
      <w:r>
        <w:t>第五条规定的条件，并遵守法律、行政法规和中国证监会关于上市公司收购、期货公司变更审批的有关规定。</w:t>
      </w:r>
    </w:p>
    <w:p>
      <w:pPr>
        <w:spacing w:line="560" w:lineRule="exact"/>
        <w:ind w:firstLine="480" w:firstLineChars="200"/>
      </w:pPr>
      <w:r>
        <w:rPr>
          <w:rFonts w:hint="eastAsia"/>
        </w:rPr>
        <w:t>依据：第六条</w:t>
      </w:r>
    </w:p>
    <w:p>
      <w:pPr>
        <w:spacing w:line="560" w:lineRule="exact"/>
        <w:ind w:firstLine="460"/>
        <w:rPr>
          <w:rFonts w:hint="eastAsia" w:ascii="宋体" w:hAnsi="宋体"/>
        </w:rPr>
      </w:pPr>
      <w:r>
        <w:rPr>
          <w:rFonts w:ascii="宋体" w:hAnsi="宋体"/>
        </w:rPr>
        <w:t>第六条</w:t>
      </w:r>
      <w:r>
        <w:rPr>
          <w:rFonts w:hint="eastAsia" w:ascii="宋体" w:hAnsi="宋体"/>
        </w:rPr>
        <w:t xml:space="preserve"> </w:t>
      </w:r>
      <w:r>
        <w:rPr>
          <w:rFonts w:ascii="宋体" w:hAnsi="宋体"/>
        </w:rPr>
        <w:t>除通过中国境内证券公司间接持有期货公司股权及中国证监会规定的其他情形外，境外投资者通过投资关系、协议或其他安排，实际控制期货公司5%以上股权的，应当转为直接持股。</w:t>
      </w:r>
    </w:p>
    <w:p>
      <w:pPr>
        <w:spacing w:line="560" w:lineRule="exact"/>
        <w:ind w:firstLine="460"/>
        <w:rPr>
          <w:rFonts w:hint="eastAsia" w:ascii="宋体" w:hAnsi="宋体"/>
        </w:rPr>
      </w:pPr>
      <w:r>
        <w:rPr>
          <w:rFonts w:ascii="宋体" w:hAnsi="宋体"/>
        </w:rPr>
        <w:t>单独或与关联方、一致行动人共同实际控制期货公司5%以上股权的境外投资者，应当具备本办法第五条规定的条件。</w:t>
      </w:r>
    </w:p>
    <w:p>
      <w:pPr>
        <w:spacing w:line="560" w:lineRule="exact"/>
      </w:pPr>
      <w:r>
        <w:t>第十三条 境外投资者依法通过证券交易所的证券交易持有或者通过协议、其他安排与他人共同持有上市期货公司股份达到5%以上的，应当具备本办法第五条规定的条件，并遵守法律、行政法规和中国证监会关于上市公司收购、期货公司变更审批的有关规定。</w:t>
      </w:r>
    </w:p>
    <w:p>
      <w:pPr>
        <w:spacing w:line="560" w:lineRule="exact"/>
        <w:ind w:firstLine="460"/>
        <w:rPr>
          <w:rFonts w:hint="eastAsia" w:ascii="宋体" w:hAnsi="宋体"/>
        </w:rPr>
      </w:pPr>
    </w:p>
    <w:p>
      <w:pPr>
        <w:pStyle w:val="5"/>
        <w:numPr>
          <w:ilvl w:val="0"/>
          <w:numId w:val="3"/>
        </w:numPr>
        <w:spacing w:before="0" w:after="0" w:line="560" w:lineRule="exact"/>
      </w:pPr>
      <w:r>
        <w:rPr>
          <w:rFonts w:hint="eastAsia"/>
        </w:rPr>
        <w:t>出资及持股比例要求</w:t>
      </w:r>
    </w:p>
    <w:p>
      <w:pPr>
        <w:spacing w:line="560" w:lineRule="exact"/>
        <w:ind w:firstLine="480" w:firstLineChars="200"/>
      </w:pPr>
      <w:r>
        <w:t>境外股东应当以自由兑换货币出资。</w:t>
      </w:r>
    </w:p>
    <w:p>
      <w:pPr>
        <w:spacing w:line="560" w:lineRule="exact"/>
        <w:ind w:firstLine="480" w:firstLineChars="200"/>
        <w:rPr>
          <w:rFonts w:hint="eastAsia" w:ascii="宋体" w:hAnsi="宋体"/>
        </w:rPr>
      </w:pPr>
      <w:r>
        <w:t>境外股东累计持有的(包括直接持有和间接控制)外商投资期货公司股权比例，应当符合国家关于期货业对外开放的安排。</w:t>
      </w:r>
    </w:p>
    <w:p>
      <w:pPr>
        <w:spacing w:line="560" w:lineRule="exact"/>
        <w:ind w:firstLine="480" w:firstLineChars="200"/>
      </w:pPr>
      <w:r>
        <w:rPr>
          <w:rFonts w:hint="eastAsia"/>
        </w:rPr>
        <w:t>依据：第七条</w:t>
      </w:r>
    </w:p>
    <w:p>
      <w:pPr>
        <w:spacing w:line="560" w:lineRule="exact"/>
        <w:ind w:firstLine="480" w:firstLineChars="200"/>
      </w:pPr>
      <w:r>
        <w:t>第七条</w:t>
      </w:r>
      <w:r>
        <w:rPr>
          <w:rFonts w:hint="eastAsia"/>
        </w:rPr>
        <w:t xml:space="preserve"> </w:t>
      </w:r>
      <w:r>
        <w:t>境外股东应当以自由兑换货币出资。境外股东累计持有的(包括直接持有和间接控制)外商投资期货公司股权比例，应当符合国家关于期货业对外开放的安排。</w:t>
      </w:r>
    </w:p>
    <w:p>
      <w:pPr>
        <w:spacing w:line="560" w:lineRule="exact"/>
      </w:pPr>
    </w:p>
    <w:p>
      <w:pPr>
        <w:pStyle w:val="5"/>
        <w:numPr>
          <w:ilvl w:val="0"/>
          <w:numId w:val="3"/>
        </w:numPr>
        <w:spacing w:before="0" w:after="0" w:line="560" w:lineRule="exact"/>
      </w:pPr>
      <w:r>
        <w:rPr>
          <w:rFonts w:hint="eastAsia"/>
        </w:rPr>
        <w:t>高管履职要求</w:t>
      </w:r>
    </w:p>
    <w:p>
      <w:pPr>
        <w:spacing w:line="560" w:lineRule="exact"/>
        <w:ind w:firstLine="480" w:firstLineChars="200"/>
      </w:pPr>
      <w:r>
        <w:t>外商投资期货公司的高级管理人员须在中国境内实地履职。</w:t>
      </w:r>
    </w:p>
    <w:p>
      <w:pPr>
        <w:spacing w:line="560" w:lineRule="exact"/>
        <w:ind w:firstLine="480" w:firstLineChars="200"/>
      </w:pPr>
      <w:r>
        <w:rPr>
          <w:rFonts w:hint="eastAsia"/>
        </w:rPr>
        <w:t>依据：第八条</w:t>
      </w:r>
    </w:p>
    <w:p>
      <w:pPr>
        <w:spacing w:line="560" w:lineRule="exact"/>
        <w:ind w:firstLine="480" w:firstLineChars="200"/>
      </w:pPr>
      <w:r>
        <w:t>第八条 外商投资期货公司的董事、监事和高级管理人员应当具备中国证监会规定的任职条件。</w:t>
      </w:r>
    </w:p>
    <w:p>
      <w:pPr>
        <w:spacing w:line="560" w:lineRule="exact"/>
        <w:ind w:firstLine="480" w:firstLineChars="200"/>
      </w:pPr>
      <w:r>
        <w:t>外商投资期货公司的高级管理人员须在中国境内实地履职。</w:t>
      </w:r>
    </w:p>
    <w:p>
      <w:pPr>
        <w:spacing w:line="560" w:lineRule="exact"/>
      </w:pPr>
    </w:p>
    <w:p>
      <w:pPr>
        <w:pStyle w:val="5"/>
        <w:numPr>
          <w:ilvl w:val="0"/>
          <w:numId w:val="3"/>
        </w:numPr>
        <w:spacing w:before="0" w:after="0" w:line="560" w:lineRule="exact"/>
      </w:pPr>
      <w:r>
        <w:rPr>
          <w:rFonts w:hint="eastAsia"/>
        </w:rPr>
        <w:t>合并分立时的股权变动要求</w:t>
      </w:r>
    </w:p>
    <w:p>
      <w:pPr>
        <w:spacing w:line="560" w:lineRule="exact"/>
        <w:ind w:firstLine="480" w:firstLineChars="200"/>
      </w:pPr>
      <w:r>
        <w:t>外商投资期货公司合并或者分立后设立的外商投资期货公司，其股权变动应当符合</w:t>
      </w:r>
      <w:r>
        <w:rPr>
          <w:rFonts w:hint="eastAsia"/>
        </w:rPr>
        <w:t>《外商投资期货公司管理办法》</w:t>
      </w:r>
      <w:r>
        <w:t>的规定。</w:t>
      </w:r>
    </w:p>
    <w:p>
      <w:pPr>
        <w:spacing w:line="560" w:lineRule="exact"/>
        <w:ind w:firstLine="480" w:firstLineChars="200"/>
      </w:pPr>
      <w:r>
        <w:rPr>
          <w:rFonts w:hint="eastAsia"/>
        </w:rPr>
        <w:t>依据：第十二条</w:t>
      </w:r>
    </w:p>
    <w:p>
      <w:pPr>
        <w:spacing w:line="560" w:lineRule="exact"/>
        <w:ind w:firstLine="480" w:firstLineChars="200"/>
      </w:pPr>
      <w:r>
        <w:t>第十二条 外商投资期货公司合并或者分立后设立的外商投资期货公司，其股权变动应当符合本办法的规定。</w:t>
      </w:r>
    </w:p>
    <w:p>
      <w:pPr>
        <w:spacing w:line="560" w:lineRule="exact"/>
      </w:pPr>
    </w:p>
    <w:p>
      <w:pPr>
        <w:pStyle w:val="5"/>
        <w:numPr>
          <w:ilvl w:val="0"/>
          <w:numId w:val="3"/>
        </w:numPr>
        <w:spacing w:before="0" w:after="0" w:line="560" w:lineRule="exact"/>
      </w:pPr>
      <w:r>
        <w:t>文件、资料</w:t>
      </w:r>
      <w:r>
        <w:rPr>
          <w:rFonts w:hint="eastAsia"/>
        </w:rPr>
        <w:t>报送要求</w:t>
      </w:r>
    </w:p>
    <w:p>
      <w:pPr>
        <w:spacing w:line="560" w:lineRule="exact"/>
        <w:ind w:firstLine="480" w:firstLineChars="200"/>
      </w:pPr>
      <w:r>
        <w:t>外商投资期货公司及其境外股东向中国证监会提交的申请文件，以及向中国证监会及其派出机构报送的文件、资料，必须使用中文。境外股东及其所在国家或者地区相关监管机构或者中国证监会认可的机构出具的文件、资料，以及外商投资期货公司股东会、董事会、监事会、总经理办公会相关文件、资料使用外文的，应当附有与原文内容一致的中文译本。</w:t>
      </w:r>
    </w:p>
    <w:p>
      <w:pPr>
        <w:spacing w:line="560" w:lineRule="exact"/>
        <w:ind w:firstLine="480" w:firstLineChars="200"/>
      </w:pPr>
      <w:r>
        <w:rPr>
          <w:rFonts w:hint="eastAsia"/>
        </w:rPr>
        <w:t>依据：第十四条</w:t>
      </w:r>
    </w:p>
    <w:p>
      <w:pPr>
        <w:spacing w:line="560" w:lineRule="exact"/>
        <w:ind w:firstLine="480" w:firstLineChars="200"/>
      </w:pPr>
      <w:r>
        <w:t>第十四条 外商投资期货公司及其境外股东向中国证监会提交的申请文件，以及向中国证监会及其派出机构报送的文件、资料，必须使用中文。境外股东及其所在国家或者地区相关监管机构或者中国证监会认可的机构出具的文件、资料，以及外商投资期货公司股东会、董事会、监事会、总经理办公会相关文件、资料使用外文的，应当附有与原文内容一致的中文译本。</w:t>
      </w:r>
    </w:p>
    <w:p>
      <w:pPr>
        <w:spacing w:line="560" w:lineRule="exact"/>
      </w:pPr>
      <w:r>
        <w:t>申请人提交的文件及报送的材料，不能充分说明申请人状况的，中国证监会可以要求申请人作出补充说明。</w:t>
      </w:r>
    </w:p>
    <w:p>
      <w:pPr>
        <w:spacing w:line="560" w:lineRule="exact"/>
      </w:pPr>
    </w:p>
    <w:p>
      <w:pPr>
        <w:pStyle w:val="5"/>
        <w:numPr>
          <w:ilvl w:val="0"/>
          <w:numId w:val="3"/>
        </w:numPr>
        <w:spacing w:before="0" w:after="0" w:line="560" w:lineRule="exact"/>
      </w:pPr>
      <w:r>
        <w:rPr>
          <w:rFonts w:hint="eastAsia"/>
        </w:rPr>
        <w:t>信息技术要求</w:t>
      </w:r>
    </w:p>
    <w:p>
      <w:pPr>
        <w:spacing w:line="560" w:lineRule="exact"/>
        <w:ind w:firstLine="480" w:firstLineChars="200"/>
      </w:pPr>
      <w:r>
        <w:t>外商投资期货公司交易、结算、风险控制等信息系统的核心服务器以及记录、存储客户信息的数据设备，应当设置在中国境内。</w:t>
      </w:r>
    </w:p>
    <w:p>
      <w:pPr>
        <w:spacing w:line="560" w:lineRule="exact"/>
        <w:ind w:firstLine="480" w:firstLineChars="200"/>
      </w:pPr>
      <w:r>
        <w:t>在符合法律、行政法规和中国证监会有关规定的前提下，外商投资期货公司可以利用境外股东的资源和技术，提升信息系统的效率和安全水平。</w:t>
      </w:r>
    </w:p>
    <w:p>
      <w:pPr>
        <w:spacing w:line="560" w:lineRule="exact"/>
        <w:ind w:firstLine="480" w:firstLineChars="200"/>
      </w:pPr>
      <w:r>
        <w:rPr>
          <w:rFonts w:hint="eastAsia"/>
        </w:rPr>
        <w:t>依据：第十五条</w:t>
      </w:r>
    </w:p>
    <w:p>
      <w:pPr>
        <w:spacing w:line="560" w:lineRule="exact"/>
        <w:ind w:firstLine="480" w:firstLineChars="200"/>
      </w:pPr>
      <w:r>
        <w:t>第十五条 外商投资期货公司交易、结算、风险控制等信息系统的核心服务器以及记录、存储客户信息的数据设备，应当设置在中国境内。</w:t>
      </w:r>
    </w:p>
    <w:p>
      <w:pPr>
        <w:spacing w:line="560" w:lineRule="exact"/>
      </w:pPr>
      <w:r>
        <w:t>在符合法律、行政法规和中国证监会有关规定的前提下，外商投资期货公司可以利用境外股东的资源和技术，提升信息系统的效率和安全水平。</w:t>
      </w:r>
    </w:p>
    <w:p>
      <w:pPr>
        <w:spacing w:line="560" w:lineRule="exact"/>
      </w:pPr>
    </w:p>
    <w:p>
      <w:pPr>
        <w:pStyle w:val="5"/>
        <w:spacing w:before="0" w:after="0" w:line="560" w:lineRule="exact"/>
      </w:pPr>
      <w:r>
        <w:rPr>
          <w:rFonts w:ascii="Times New Roman" w:hAnsi="Times New Roman" w:cs="Times New Roman"/>
          <w:bCs w:val="0"/>
          <w:kern w:val="2"/>
        </w:rPr>
        <w:t>10</w:t>
      </w:r>
      <w:r>
        <w:rPr>
          <w:rFonts w:hint="eastAsia" w:ascii="Times New Roman" w:hAnsi="Times New Roman" w:cs="Times New Roman"/>
          <w:bCs w:val="0"/>
          <w:kern w:val="2"/>
        </w:rPr>
        <w:t>、</w:t>
      </w:r>
      <w:r>
        <w:rPr>
          <w:rFonts w:hint="eastAsia"/>
        </w:rPr>
        <w:t>港澳台地区参照适用</w:t>
      </w:r>
    </w:p>
    <w:p>
      <w:pPr>
        <w:spacing w:line="560" w:lineRule="exact"/>
        <w:ind w:firstLine="480" w:firstLineChars="200"/>
      </w:pPr>
      <w:r>
        <w:t>香港特别行政区、澳门特别行政区和台湾地区的投资者投资期货公司的，参照适用本办法。国家另有规定的，从其规定。</w:t>
      </w:r>
    </w:p>
    <w:p>
      <w:pPr>
        <w:spacing w:line="560" w:lineRule="exact"/>
        <w:ind w:left="480"/>
      </w:pPr>
      <w:r>
        <w:rPr>
          <w:rFonts w:hint="eastAsia"/>
        </w:rPr>
        <w:t>依据：第十七条</w:t>
      </w:r>
    </w:p>
    <w:p>
      <w:pPr>
        <w:spacing w:line="560" w:lineRule="exact"/>
        <w:ind w:firstLine="480" w:firstLineChars="200"/>
      </w:pPr>
      <w:r>
        <w:t>第十七条 香港特别行政区、澳门特别行政区和台湾地区的投资者投资期货公司的，参照适用本办法。国家另有规定的，从其规定。</w:t>
      </w:r>
    </w:p>
    <w:p>
      <w:pPr>
        <w:widowControl/>
        <w:spacing w:line="360" w:lineRule="auto"/>
        <w:jc w:val="left"/>
        <w:rPr>
          <w:rFonts w:ascii="仿宋" w:hAnsi="仿宋"/>
        </w:rPr>
      </w:pPr>
    </w:p>
    <w:p>
      <w:pPr>
        <w:pStyle w:val="4"/>
        <w:rPr>
          <w:rFonts w:ascii="仿宋" w:hAnsi="仿宋"/>
          <w:szCs w:val="24"/>
        </w:rPr>
      </w:pPr>
      <w:bookmarkStart w:id="135" w:name="_Toc3896727"/>
      <w:r>
        <w:rPr>
          <w:rFonts w:hint="eastAsia" w:ascii="仿宋" w:hAnsi="仿宋"/>
          <w:szCs w:val="24"/>
        </w:rPr>
        <w:t>（四）《证券期货经营机构及其工作人员廉洁从业规定》</w:t>
      </w:r>
      <w:bookmarkEnd w:id="135"/>
    </w:p>
    <w:p>
      <w:pPr>
        <w:pStyle w:val="5"/>
      </w:pPr>
      <w:r>
        <w:rPr>
          <w:rFonts w:hint="eastAsia"/>
        </w:rPr>
        <w:t>1、廉洁从业的定义</w:t>
      </w:r>
    </w:p>
    <w:p>
      <w:pPr>
        <w:spacing w:line="360" w:lineRule="auto"/>
        <w:ind w:firstLine="480" w:firstLineChars="200"/>
        <w:rPr>
          <w:rFonts w:ascii="仿宋_GB2312" w:hAnsi="仿宋" w:cs="仿宋"/>
        </w:rPr>
      </w:pPr>
      <w:r>
        <w:rPr>
          <w:rFonts w:hint="eastAsia" w:ascii="仿宋_GB2312" w:hAnsi="仿宋" w:cs="仿宋"/>
        </w:rPr>
        <w:t>依据：第二条</w:t>
      </w:r>
    </w:p>
    <w:p>
      <w:pPr>
        <w:spacing w:line="360" w:lineRule="auto"/>
        <w:ind w:firstLine="480" w:firstLineChars="200"/>
        <w:rPr>
          <w:rFonts w:ascii="仿宋_GB2312" w:hAnsi="仿宋" w:cs="仿宋"/>
        </w:rPr>
      </w:pPr>
      <w:r>
        <w:rPr>
          <w:rFonts w:hint="eastAsia" w:ascii="仿宋_GB2312" w:hAnsi="仿宋" w:cs="仿宋"/>
        </w:rPr>
        <w:t>第二条 本规定所称廉洁从业，是指证券期货经营机构及其工作人员在开展证券期货业务及相关活动中，严格遵守法律法规、中国证监会的规定和行业自律规则，遵守社会公德、商业道德、职业道德和行为规范，公平竞争，合规经营，忠实勤勉，诚实守信，不直接或者间接向他人输送不正当利益或者谋取不正当利益。</w:t>
      </w:r>
    </w:p>
    <w:p>
      <w:pPr>
        <w:spacing w:line="360" w:lineRule="auto"/>
        <w:ind w:firstLine="480" w:firstLineChars="200"/>
        <w:rPr>
          <w:rFonts w:ascii="仿宋_GB2312" w:hAnsi="仿宋" w:cs="仿宋"/>
        </w:rPr>
      </w:pPr>
    </w:p>
    <w:p>
      <w:pPr>
        <w:pStyle w:val="5"/>
      </w:pPr>
      <w:r>
        <w:rPr>
          <w:rFonts w:hint="eastAsia"/>
        </w:rPr>
        <w:t>2、廉洁从业风险防控的责任</w:t>
      </w:r>
    </w:p>
    <w:p>
      <w:pPr>
        <w:spacing w:line="360" w:lineRule="auto"/>
        <w:ind w:firstLine="480" w:firstLineChars="200"/>
        <w:rPr>
          <w:rFonts w:ascii="仿宋_GB2312" w:hAnsi="仿宋" w:cs="仿宋"/>
        </w:rPr>
      </w:pPr>
      <w:r>
        <w:rPr>
          <w:rFonts w:hint="eastAsia" w:ascii="仿宋_GB2312" w:hAnsi="仿宋" w:cs="仿宋"/>
        </w:rPr>
        <w:t>依据：第四条</w:t>
      </w:r>
    </w:p>
    <w:p>
      <w:pPr>
        <w:spacing w:line="360" w:lineRule="auto"/>
        <w:ind w:firstLine="480" w:firstLineChars="200"/>
        <w:rPr>
          <w:rFonts w:ascii="仿宋_GB2312" w:hAnsi="仿宋" w:cs="仿宋"/>
        </w:rPr>
      </w:pPr>
      <w:r>
        <w:rPr>
          <w:rFonts w:hint="eastAsia" w:ascii="仿宋_GB2312" w:hAnsi="仿宋" w:cs="仿宋"/>
        </w:rPr>
        <w:t>第四条 证券期货经营机构承担廉洁从业风险防控主体责任。</w:t>
      </w:r>
    </w:p>
    <w:p>
      <w:pPr>
        <w:spacing w:line="360" w:lineRule="auto"/>
        <w:ind w:firstLine="480" w:firstLineChars="200"/>
        <w:rPr>
          <w:rFonts w:ascii="仿宋_GB2312" w:hAnsi="仿宋" w:cs="仿宋"/>
        </w:rPr>
      </w:pPr>
      <w:r>
        <w:rPr>
          <w:rFonts w:hint="eastAsia" w:ascii="仿宋_GB2312" w:hAnsi="仿宋" w:cs="仿宋"/>
        </w:rPr>
        <w:t>证券期货经营机构董事会决定廉洁从业管理目标，对廉洁从业管理的有效性承担责任。</w:t>
      </w:r>
    </w:p>
    <w:p>
      <w:pPr>
        <w:spacing w:line="360" w:lineRule="auto"/>
        <w:ind w:firstLine="480" w:firstLineChars="200"/>
        <w:rPr>
          <w:rFonts w:ascii="仿宋_GB2312" w:hAnsi="仿宋" w:cs="仿宋"/>
        </w:rPr>
      </w:pPr>
      <w:r>
        <w:rPr>
          <w:rFonts w:hint="eastAsia" w:ascii="仿宋_GB2312" w:hAnsi="仿宋" w:cs="仿宋"/>
        </w:rPr>
        <w:t>证券期货经营机构主要负责人是落实廉洁从业管理职责的第一责任人，各级负责人在职责范围内承担相应管理责任。</w:t>
      </w:r>
    </w:p>
    <w:p>
      <w:pPr>
        <w:spacing w:line="360" w:lineRule="auto"/>
        <w:ind w:firstLine="480" w:firstLineChars="200"/>
        <w:rPr>
          <w:rFonts w:ascii="仿宋_GB2312" w:hAnsi="仿宋" w:cs="仿宋"/>
        </w:rPr>
      </w:pPr>
    </w:p>
    <w:p>
      <w:pPr>
        <w:pStyle w:val="5"/>
      </w:pPr>
      <w:r>
        <w:rPr>
          <w:rFonts w:hint="eastAsia"/>
        </w:rPr>
        <w:t>3、廉洁从业内部控制制度</w:t>
      </w:r>
    </w:p>
    <w:p>
      <w:pPr>
        <w:spacing w:line="360" w:lineRule="auto"/>
        <w:ind w:firstLine="480" w:firstLineChars="200"/>
        <w:rPr>
          <w:rFonts w:ascii="仿宋_GB2312" w:hAnsi="仿宋" w:cs="仿宋"/>
        </w:rPr>
      </w:pPr>
      <w:r>
        <w:rPr>
          <w:rFonts w:hint="eastAsia" w:ascii="仿宋_GB2312" w:hAnsi="仿宋" w:cs="仿宋"/>
        </w:rPr>
        <w:t>依据：第六条</w:t>
      </w:r>
    </w:p>
    <w:p>
      <w:pPr>
        <w:spacing w:line="360" w:lineRule="auto"/>
        <w:ind w:firstLine="480" w:firstLineChars="200"/>
        <w:rPr>
          <w:rFonts w:ascii="仿宋_GB2312" w:hAnsi="仿宋" w:cs="仿宋"/>
        </w:rPr>
      </w:pPr>
      <w:r>
        <w:rPr>
          <w:rFonts w:hint="eastAsia" w:ascii="仿宋_GB2312" w:hAnsi="仿宋" w:cs="仿宋"/>
        </w:rPr>
        <w:t>第六条 证券期货经营机构应当建立健全廉洁从业内部控制制度，制定具体、有效的事前风险防范体系、事中管控措施和事后追责机制，对所从事的业务种类、环节及相关工作进行科学、系统的廉洁风险评估，识别廉洁从业风险点，强化岗位制衡与内部监督机制并确保运作有效。</w:t>
      </w:r>
    </w:p>
    <w:p>
      <w:pPr>
        <w:spacing w:line="360" w:lineRule="auto"/>
        <w:ind w:firstLine="480" w:firstLineChars="200"/>
        <w:rPr>
          <w:rFonts w:ascii="仿宋_GB2312" w:hAnsi="仿宋" w:cs="仿宋"/>
        </w:rPr>
      </w:pPr>
      <w:r>
        <w:rPr>
          <w:rFonts w:hint="eastAsia" w:ascii="仿宋_GB2312" w:hAnsi="仿宋" w:cs="仿宋"/>
        </w:rPr>
        <w:t>前款规定的业务种类、环节包括业务承揽、承做、销售、交易、结算、交割、投资、采购、商业合作、人员招聘，以及申请行政许可、接受监管执法和自律管理等。</w:t>
      </w:r>
    </w:p>
    <w:p>
      <w:pPr>
        <w:spacing w:line="360" w:lineRule="auto"/>
        <w:ind w:firstLine="480" w:firstLineChars="200"/>
        <w:rPr>
          <w:rFonts w:ascii="仿宋_GB2312" w:hAnsi="仿宋" w:cs="仿宋"/>
        </w:rPr>
      </w:pPr>
    </w:p>
    <w:p>
      <w:pPr>
        <w:pStyle w:val="5"/>
      </w:pPr>
      <w:r>
        <w:rPr>
          <w:rFonts w:hint="eastAsia"/>
        </w:rPr>
        <w:t>4、输送不正当利益的禁止规定</w:t>
      </w:r>
    </w:p>
    <w:p>
      <w:pPr>
        <w:spacing w:line="360" w:lineRule="auto"/>
        <w:ind w:firstLine="480" w:firstLineChars="200"/>
        <w:rPr>
          <w:rFonts w:ascii="仿宋_GB2312" w:hAnsi="仿宋" w:cs="仿宋"/>
        </w:rPr>
      </w:pPr>
      <w:r>
        <w:rPr>
          <w:rFonts w:hint="eastAsia" w:ascii="仿宋_GB2312" w:hAnsi="仿宋" w:cs="仿宋"/>
        </w:rPr>
        <w:t>依据：第九条</w:t>
      </w:r>
    </w:p>
    <w:p>
      <w:pPr>
        <w:spacing w:line="360" w:lineRule="auto"/>
        <w:ind w:firstLine="480" w:firstLineChars="200"/>
        <w:rPr>
          <w:rFonts w:ascii="仿宋_GB2312" w:hAnsi="仿宋" w:cs="仿宋"/>
        </w:rPr>
      </w:pPr>
      <w:r>
        <w:rPr>
          <w:rFonts w:hint="eastAsia" w:ascii="仿宋_GB2312" w:hAnsi="仿宋" w:cs="仿宋"/>
        </w:rPr>
        <w:t>第九条 证券期货经营机构及其工作人员在开展证券期货业务及相关活动中，不得以下列方式向公职人员、客户、正在洽谈的潜在客户或者其他利益关系人输送不正当利益：</w:t>
      </w:r>
    </w:p>
    <w:p>
      <w:pPr>
        <w:spacing w:line="360" w:lineRule="auto"/>
        <w:ind w:firstLine="480" w:firstLineChars="200"/>
        <w:rPr>
          <w:rFonts w:ascii="仿宋_GB2312" w:hAnsi="仿宋" w:cs="仿宋"/>
        </w:rPr>
      </w:pPr>
      <w:r>
        <w:rPr>
          <w:rFonts w:hint="eastAsia" w:ascii="仿宋_GB2312" w:hAnsi="仿宋" w:cs="仿宋"/>
        </w:rPr>
        <w:t>（一）提供礼金、礼品、房产、汽车、有价证券、股权、佣金返还等财物，或者为上述行为提供代持等便利；</w:t>
      </w:r>
    </w:p>
    <w:p>
      <w:pPr>
        <w:spacing w:line="360" w:lineRule="auto"/>
        <w:ind w:firstLine="480" w:firstLineChars="200"/>
        <w:rPr>
          <w:rFonts w:ascii="仿宋_GB2312" w:hAnsi="仿宋" w:cs="仿宋"/>
        </w:rPr>
      </w:pPr>
      <w:r>
        <w:rPr>
          <w:rFonts w:hint="eastAsia" w:ascii="仿宋_GB2312" w:hAnsi="仿宋" w:cs="仿宋"/>
        </w:rPr>
        <w:t>（二）提供旅游、宴请、娱乐健身、工作安排等利益；</w:t>
      </w:r>
    </w:p>
    <w:p>
      <w:pPr>
        <w:spacing w:line="360" w:lineRule="auto"/>
        <w:ind w:firstLine="480" w:firstLineChars="200"/>
        <w:rPr>
          <w:rFonts w:ascii="仿宋_GB2312" w:hAnsi="仿宋" w:cs="仿宋"/>
        </w:rPr>
      </w:pPr>
      <w:r>
        <w:rPr>
          <w:rFonts w:hint="eastAsia" w:ascii="仿宋_GB2312" w:hAnsi="仿宋" w:cs="仿宋"/>
        </w:rPr>
        <w:t>（三）安排显著偏离公允价格的结构化、高收益、保本理财产品等交易；</w:t>
      </w:r>
    </w:p>
    <w:p>
      <w:pPr>
        <w:spacing w:line="360" w:lineRule="auto"/>
        <w:ind w:firstLine="480" w:firstLineChars="200"/>
        <w:rPr>
          <w:rFonts w:ascii="仿宋_GB2312" w:hAnsi="仿宋" w:cs="仿宋"/>
        </w:rPr>
      </w:pPr>
      <w:r>
        <w:rPr>
          <w:rFonts w:hint="eastAsia" w:ascii="仿宋_GB2312" w:hAnsi="仿宋" w:cs="仿宋"/>
        </w:rPr>
        <w:t>（四）直接或者间接向他人提供内幕信息、未公开信息、商业秘密和客户信息，明示或者暗示他人从事相关交易活动；</w:t>
      </w:r>
    </w:p>
    <w:p>
      <w:pPr>
        <w:spacing w:line="360" w:lineRule="auto"/>
        <w:ind w:firstLine="480" w:firstLineChars="200"/>
        <w:rPr>
          <w:rFonts w:ascii="仿宋_GB2312" w:hAnsi="仿宋" w:cs="仿宋"/>
        </w:rPr>
      </w:pPr>
      <w:r>
        <w:rPr>
          <w:rFonts w:hint="eastAsia" w:ascii="仿宋_GB2312" w:hAnsi="仿宋" w:cs="仿宋"/>
        </w:rPr>
        <w:t>（五）其他输送不正当利益的情形。</w:t>
      </w:r>
    </w:p>
    <w:p>
      <w:pPr>
        <w:spacing w:line="360" w:lineRule="auto"/>
        <w:ind w:firstLine="480" w:firstLineChars="200"/>
        <w:rPr>
          <w:rFonts w:ascii="仿宋_GB2312" w:hAnsi="仿宋" w:cs="仿宋"/>
        </w:rPr>
      </w:pPr>
      <w:r>
        <w:rPr>
          <w:rFonts w:hint="eastAsia" w:ascii="仿宋_GB2312" w:hAnsi="仿宋" w:cs="仿宋"/>
        </w:rPr>
        <w:t>证券期货经营机构及其工作人员按照证券期货经营机构依法制定的内部规定及限定标准，依法合理营销的，不适用前款规定。</w:t>
      </w:r>
    </w:p>
    <w:p>
      <w:pPr>
        <w:spacing w:line="360" w:lineRule="auto"/>
        <w:ind w:firstLine="480" w:firstLineChars="200"/>
        <w:rPr>
          <w:rFonts w:ascii="仿宋_GB2312" w:hAnsi="仿宋" w:cs="仿宋"/>
        </w:rPr>
      </w:pPr>
    </w:p>
    <w:p>
      <w:pPr>
        <w:pStyle w:val="5"/>
      </w:pPr>
      <w:r>
        <w:rPr>
          <w:rFonts w:hint="eastAsia"/>
        </w:rPr>
        <w:t>5、谋取不正当利益的禁止规定</w:t>
      </w:r>
    </w:p>
    <w:p>
      <w:pPr>
        <w:spacing w:line="360" w:lineRule="auto"/>
        <w:ind w:firstLine="480" w:firstLineChars="200"/>
        <w:rPr>
          <w:rFonts w:ascii="仿宋_GB2312" w:hAnsi="仿宋" w:cs="仿宋"/>
        </w:rPr>
      </w:pPr>
      <w:r>
        <w:rPr>
          <w:rFonts w:hint="eastAsia" w:ascii="仿宋_GB2312" w:hAnsi="仿宋" w:cs="仿宋"/>
        </w:rPr>
        <w:t>依据：第十条</w:t>
      </w:r>
    </w:p>
    <w:p>
      <w:pPr>
        <w:spacing w:line="360" w:lineRule="auto"/>
        <w:ind w:firstLine="480" w:firstLineChars="200"/>
        <w:rPr>
          <w:rFonts w:ascii="仿宋_GB2312" w:hAnsi="仿宋" w:cs="仿宋"/>
        </w:rPr>
      </w:pPr>
      <w:r>
        <w:rPr>
          <w:rFonts w:hint="eastAsia" w:ascii="仿宋_GB2312" w:hAnsi="仿宋" w:cs="仿宋"/>
        </w:rPr>
        <w:t>第十条 证券期货经营机构工作人员不得以下列方式谋取不正当利益：</w:t>
      </w:r>
    </w:p>
    <w:p>
      <w:pPr>
        <w:spacing w:line="360" w:lineRule="auto"/>
        <w:ind w:firstLine="480" w:firstLineChars="200"/>
        <w:rPr>
          <w:rFonts w:ascii="仿宋_GB2312" w:hAnsi="仿宋" w:cs="仿宋"/>
        </w:rPr>
      </w:pPr>
      <w:r>
        <w:rPr>
          <w:rFonts w:hint="eastAsia" w:ascii="仿宋_GB2312" w:hAnsi="仿宋" w:cs="仿宋"/>
        </w:rPr>
        <w:t>（一）直接或者间接以第九条所列形式收受、索取他人的财物或者利益；</w:t>
      </w:r>
    </w:p>
    <w:p>
      <w:pPr>
        <w:spacing w:line="360" w:lineRule="auto"/>
        <w:ind w:firstLine="480" w:firstLineChars="200"/>
        <w:rPr>
          <w:rFonts w:ascii="仿宋_GB2312" w:hAnsi="仿宋" w:cs="仿宋"/>
        </w:rPr>
      </w:pPr>
      <w:r>
        <w:rPr>
          <w:rFonts w:hint="eastAsia" w:ascii="仿宋_GB2312" w:hAnsi="仿宋" w:cs="仿宋"/>
        </w:rPr>
        <w:t>（二）直接或者间接利用他人提供或主动获取的内幕信息、未公开信息、商业秘密和客户信息谋取利益；</w:t>
      </w:r>
    </w:p>
    <w:p>
      <w:pPr>
        <w:spacing w:line="360" w:lineRule="auto"/>
        <w:ind w:firstLine="480" w:firstLineChars="200"/>
        <w:rPr>
          <w:rFonts w:ascii="仿宋_GB2312" w:hAnsi="仿宋" w:cs="仿宋"/>
        </w:rPr>
      </w:pPr>
      <w:r>
        <w:rPr>
          <w:rFonts w:hint="eastAsia" w:ascii="仿宋_GB2312" w:hAnsi="仿宋" w:cs="仿宋"/>
        </w:rPr>
        <w:t>（三）以诱导客户从事不必要交易、使用客户受托资产进行不必要交易等方式谋取利益；</w:t>
      </w:r>
    </w:p>
    <w:p>
      <w:pPr>
        <w:spacing w:line="360" w:lineRule="auto"/>
        <w:ind w:firstLine="480" w:firstLineChars="200"/>
        <w:rPr>
          <w:rFonts w:ascii="仿宋_GB2312" w:hAnsi="仿宋" w:cs="仿宋"/>
        </w:rPr>
      </w:pPr>
      <w:r>
        <w:rPr>
          <w:rFonts w:hint="eastAsia" w:ascii="仿宋_GB2312" w:hAnsi="仿宋" w:cs="仿宋"/>
        </w:rPr>
        <w:t>（四）违规从事营利性经营活动，违规兼任可能影响其</w:t>
      </w:r>
    </w:p>
    <w:p>
      <w:pPr>
        <w:spacing w:line="360" w:lineRule="auto"/>
        <w:ind w:firstLine="480" w:firstLineChars="200"/>
        <w:rPr>
          <w:rFonts w:ascii="仿宋_GB2312" w:hAnsi="仿宋" w:cs="仿宋"/>
        </w:rPr>
      </w:pPr>
      <w:r>
        <w:rPr>
          <w:rFonts w:hint="eastAsia" w:ascii="仿宋_GB2312" w:hAnsi="仿宋" w:cs="仿宋"/>
        </w:rPr>
        <w:t>独立性的职务或者从事与所在机构或者投资者合法利益相冲突的活动；</w:t>
      </w:r>
    </w:p>
    <w:p>
      <w:pPr>
        <w:spacing w:line="360" w:lineRule="auto"/>
        <w:ind w:firstLine="480" w:firstLineChars="200"/>
        <w:rPr>
          <w:rFonts w:ascii="仿宋_GB2312" w:hAnsi="仿宋" w:cs="仿宋"/>
        </w:rPr>
      </w:pPr>
      <w:r>
        <w:rPr>
          <w:rFonts w:hint="eastAsia" w:ascii="仿宋_GB2312" w:hAnsi="仿宋" w:cs="仿宋"/>
        </w:rPr>
        <w:t>（五）违规利用职权为近亲属或者其他利益关系人从事营利性经营活动提供便利条件；</w:t>
      </w:r>
    </w:p>
    <w:p>
      <w:pPr>
        <w:spacing w:line="360" w:lineRule="auto"/>
        <w:ind w:firstLine="480" w:firstLineChars="200"/>
        <w:rPr>
          <w:rFonts w:ascii="仿宋_GB2312" w:hAnsi="仿宋" w:cs="仿宋"/>
        </w:rPr>
      </w:pPr>
      <w:r>
        <w:rPr>
          <w:rFonts w:hint="eastAsia" w:ascii="仿宋_GB2312" w:hAnsi="仿宋" w:cs="仿宋"/>
        </w:rPr>
        <w:t>（六）其他谋取不正当利益的情形。</w:t>
      </w:r>
    </w:p>
    <w:p>
      <w:pPr>
        <w:spacing w:line="360" w:lineRule="auto"/>
        <w:ind w:firstLine="480" w:firstLineChars="200"/>
        <w:rPr>
          <w:rFonts w:ascii="仿宋_GB2312" w:hAnsi="仿宋" w:cs="仿宋"/>
        </w:rPr>
      </w:pPr>
    </w:p>
    <w:p>
      <w:pPr>
        <w:pStyle w:val="5"/>
      </w:pPr>
      <w:r>
        <w:rPr>
          <w:rFonts w:hint="eastAsia"/>
        </w:rPr>
        <w:t>6、干扰监管的禁止规定</w:t>
      </w:r>
    </w:p>
    <w:p>
      <w:pPr>
        <w:spacing w:line="360" w:lineRule="auto"/>
        <w:ind w:firstLine="480" w:firstLineChars="200"/>
        <w:rPr>
          <w:rFonts w:ascii="仿宋_GB2312" w:hAnsi="仿宋" w:cs="仿宋"/>
        </w:rPr>
      </w:pPr>
      <w:r>
        <w:rPr>
          <w:rFonts w:hint="eastAsia" w:ascii="仿宋_GB2312" w:hAnsi="仿宋" w:cs="仿宋"/>
        </w:rPr>
        <w:t>依据：第十一条</w:t>
      </w:r>
    </w:p>
    <w:p>
      <w:pPr>
        <w:spacing w:line="360" w:lineRule="auto"/>
        <w:ind w:firstLine="480" w:firstLineChars="200"/>
        <w:rPr>
          <w:rFonts w:ascii="仿宋_GB2312" w:hAnsi="仿宋" w:cs="仿宋"/>
        </w:rPr>
      </w:pPr>
      <w:r>
        <w:rPr>
          <w:rFonts w:hint="eastAsia" w:ascii="仿宋_GB2312" w:hAnsi="仿宋" w:cs="仿宋"/>
        </w:rPr>
        <w:t>第十一条 证券期货经营机构及其工作人员不得以下列方式干扰或者唆使、协助他人干扰证券期货监督管理或者自律管理工作：</w:t>
      </w:r>
    </w:p>
    <w:p>
      <w:pPr>
        <w:spacing w:line="360" w:lineRule="auto"/>
        <w:ind w:firstLine="480" w:firstLineChars="200"/>
        <w:rPr>
          <w:rFonts w:ascii="仿宋_GB2312" w:hAnsi="仿宋" w:cs="仿宋"/>
        </w:rPr>
      </w:pPr>
      <w:r>
        <w:rPr>
          <w:rFonts w:hint="eastAsia" w:ascii="仿宋_GB2312" w:hAnsi="仿宋" w:cs="仿宋"/>
        </w:rPr>
        <w:t>（一）以不正当方式影响监督管理或者自律管理决定；</w:t>
      </w:r>
    </w:p>
    <w:p>
      <w:pPr>
        <w:spacing w:line="360" w:lineRule="auto"/>
        <w:ind w:firstLine="480" w:firstLineChars="200"/>
        <w:rPr>
          <w:rFonts w:ascii="仿宋_GB2312" w:hAnsi="仿宋" w:cs="仿宋"/>
        </w:rPr>
      </w:pPr>
      <w:r>
        <w:rPr>
          <w:rFonts w:hint="eastAsia" w:ascii="仿宋_GB2312" w:hAnsi="仿宋" w:cs="仿宋"/>
        </w:rPr>
        <w:t>（二）以不正当方式影响监督管理或者自律管理人员工作安排；</w:t>
      </w:r>
    </w:p>
    <w:p>
      <w:pPr>
        <w:spacing w:line="360" w:lineRule="auto"/>
        <w:ind w:firstLine="480" w:firstLineChars="200"/>
        <w:rPr>
          <w:rFonts w:ascii="仿宋_GB2312" w:hAnsi="仿宋" w:cs="仿宋"/>
        </w:rPr>
      </w:pPr>
      <w:r>
        <w:rPr>
          <w:rFonts w:hint="eastAsia" w:ascii="仿宋_GB2312" w:hAnsi="仿宋" w:cs="仿宋"/>
        </w:rPr>
        <w:t>（三）以不正当方式获取监督管理或者自律管理内部信息；</w:t>
      </w:r>
    </w:p>
    <w:p>
      <w:pPr>
        <w:spacing w:line="360" w:lineRule="auto"/>
        <w:ind w:firstLine="480" w:firstLineChars="200"/>
        <w:rPr>
          <w:rFonts w:ascii="仿宋_GB2312" w:hAnsi="仿宋" w:cs="仿宋"/>
        </w:rPr>
      </w:pPr>
      <w:r>
        <w:rPr>
          <w:rFonts w:hint="eastAsia" w:ascii="仿宋_GB2312" w:hAnsi="仿宋" w:cs="仿宋"/>
        </w:rPr>
        <w:t>（四）协助利益关系人，拒绝、干扰、阻碍或者不配合监管人员行使监督、检查、调查职权；</w:t>
      </w:r>
    </w:p>
    <w:p>
      <w:pPr>
        <w:spacing w:line="360" w:lineRule="auto"/>
        <w:ind w:firstLine="480" w:firstLineChars="200"/>
        <w:rPr>
          <w:rFonts w:ascii="仿宋_GB2312" w:hAnsi="仿宋" w:cs="仿宋"/>
        </w:rPr>
      </w:pPr>
      <w:r>
        <w:rPr>
          <w:rFonts w:hint="eastAsia" w:ascii="仿宋_GB2312" w:hAnsi="仿宋" w:cs="仿宋"/>
        </w:rPr>
        <w:t>（五）其他干扰证券期货监督管理或者自律管理工作的情形。</w:t>
      </w:r>
    </w:p>
    <w:p>
      <w:pPr>
        <w:spacing w:line="360" w:lineRule="auto"/>
        <w:ind w:firstLine="480" w:firstLineChars="200"/>
        <w:rPr>
          <w:rFonts w:ascii="仿宋_GB2312" w:hAnsi="仿宋" w:cs="仿宋"/>
        </w:rPr>
      </w:pPr>
    </w:p>
    <w:p>
      <w:pPr>
        <w:pStyle w:val="5"/>
      </w:pPr>
      <w:r>
        <w:rPr>
          <w:rFonts w:hint="eastAsia"/>
        </w:rPr>
        <w:t>7、投资银行类业务输送或者谋取不正当利益的禁止规定</w:t>
      </w:r>
    </w:p>
    <w:p>
      <w:pPr>
        <w:spacing w:line="360" w:lineRule="auto"/>
        <w:ind w:firstLine="480" w:firstLineChars="200"/>
        <w:rPr>
          <w:rFonts w:ascii="仿宋_GB2312" w:hAnsi="仿宋" w:cs="仿宋"/>
        </w:rPr>
      </w:pPr>
      <w:r>
        <w:rPr>
          <w:rFonts w:hint="eastAsia" w:ascii="仿宋_GB2312" w:hAnsi="仿宋" w:cs="仿宋"/>
        </w:rPr>
        <w:t>依据：第十二条</w:t>
      </w:r>
    </w:p>
    <w:p>
      <w:pPr>
        <w:spacing w:line="360" w:lineRule="auto"/>
        <w:ind w:firstLine="480" w:firstLineChars="200"/>
        <w:rPr>
          <w:rFonts w:ascii="仿宋_GB2312" w:hAnsi="仿宋" w:cs="仿宋"/>
        </w:rPr>
      </w:pPr>
      <w:r>
        <w:rPr>
          <w:rFonts w:hint="eastAsia" w:ascii="仿宋_GB2312" w:hAnsi="仿宋" w:cs="仿宋"/>
        </w:rPr>
        <w:t>第十二条 证券期货经营机构及其工作人员在开展投资银行类业务过程中，不得以下列方式输送或者谋取不正当利益：</w:t>
      </w:r>
    </w:p>
    <w:p>
      <w:pPr>
        <w:spacing w:line="360" w:lineRule="auto"/>
        <w:ind w:firstLine="480" w:firstLineChars="200"/>
        <w:rPr>
          <w:rFonts w:ascii="仿宋_GB2312" w:hAnsi="仿宋" w:cs="仿宋"/>
        </w:rPr>
      </w:pPr>
      <w:r>
        <w:rPr>
          <w:rFonts w:hint="eastAsia" w:ascii="仿宋_GB2312" w:hAnsi="仿宋" w:cs="仿宋"/>
        </w:rPr>
        <w:t>（一）以非公允价格或者不正当方式为自身或者利益关系人获取拟上市公司股权；</w:t>
      </w:r>
    </w:p>
    <w:p>
      <w:pPr>
        <w:spacing w:line="360" w:lineRule="auto"/>
        <w:ind w:firstLine="480" w:firstLineChars="200"/>
        <w:rPr>
          <w:rFonts w:ascii="仿宋_GB2312" w:hAnsi="仿宋" w:cs="仿宋"/>
        </w:rPr>
      </w:pPr>
      <w:r>
        <w:rPr>
          <w:rFonts w:hint="eastAsia" w:ascii="仿宋_GB2312" w:hAnsi="仿宋" w:cs="仿宋"/>
        </w:rPr>
        <w:t>（二）以非公允价格或者不正当方式为自身或者利益关系人获取拟并购重组上市公司股权或者标的资产股权；</w:t>
      </w:r>
    </w:p>
    <w:p>
      <w:pPr>
        <w:spacing w:line="360" w:lineRule="auto"/>
        <w:ind w:firstLine="480" w:firstLineChars="200"/>
        <w:rPr>
          <w:rFonts w:ascii="仿宋_GB2312" w:hAnsi="仿宋" w:cs="仿宋"/>
        </w:rPr>
      </w:pPr>
      <w:r>
        <w:rPr>
          <w:rFonts w:hint="eastAsia" w:ascii="仿宋_GB2312" w:hAnsi="仿宋" w:cs="仿宋"/>
        </w:rPr>
        <w:t>（三）以非公允价格为利益关系人配售债券或者约定回购债券；</w:t>
      </w:r>
    </w:p>
    <w:p>
      <w:pPr>
        <w:spacing w:line="360" w:lineRule="auto"/>
        <w:ind w:firstLine="480" w:firstLineChars="200"/>
        <w:rPr>
          <w:rFonts w:ascii="仿宋_GB2312" w:hAnsi="仿宋" w:cs="仿宋"/>
        </w:rPr>
      </w:pPr>
      <w:r>
        <w:rPr>
          <w:rFonts w:hint="eastAsia" w:ascii="仿宋_GB2312" w:hAnsi="仿宋" w:cs="仿宋"/>
        </w:rPr>
        <w:t>（四）泄露证券发行询价和定价信息，操纵证券发行价格；</w:t>
      </w:r>
    </w:p>
    <w:p>
      <w:pPr>
        <w:spacing w:line="360" w:lineRule="auto"/>
        <w:ind w:firstLine="480" w:firstLineChars="200"/>
        <w:rPr>
          <w:rFonts w:ascii="仿宋_GB2312" w:hAnsi="仿宋" w:cs="仿宋"/>
        </w:rPr>
      </w:pPr>
      <w:r>
        <w:rPr>
          <w:rFonts w:hint="eastAsia" w:ascii="仿宋_GB2312" w:hAnsi="仿宋" w:cs="仿宋"/>
        </w:rPr>
        <w:t>（五）直接或者间接通过聘请第三方机构或者个人的方式输送利益；</w:t>
      </w:r>
    </w:p>
    <w:p>
      <w:pPr>
        <w:spacing w:line="360" w:lineRule="auto"/>
        <w:ind w:firstLine="480" w:firstLineChars="200"/>
        <w:rPr>
          <w:rFonts w:ascii="仿宋_GB2312" w:hAnsi="仿宋" w:cs="仿宋"/>
        </w:rPr>
      </w:pPr>
      <w:r>
        <w:rPr>
          <w:rFonts w:hint="eastAsia" w:ascii="仿宋_GB2312" w:hAnsi="仿宋" w:cs="仿宋"/>
        </w:rPr>
        <w:t>（六）以与监管人员或者其他相关人员熟悉，或者以承诺价格、利率、获得批复及获得批复时间等为手段招揽项目、商定服务费；</w:t>
      </w:r>
    </w:p>
    <w:p>
      <w:pPr>
        <w:spacing w:line="360" w:lineRule="auto"/>
        <w:ind w:firstLine="480" w:firstLineChars="200"/>
        <w:rPr>
          <w:rFonts w:ascii="仿宋_GB2312" w:hAnsi="仿宋" w:cs="仿宋"/>
        </w:rPr>
      </w:pPr>
      <w:r>
        <w:rPr>
          <w:rFonts w:hint="eastAsia" w:ascii="仿宋_GB2312" w:hAnsi="仿宋" w:cs="仿宋"/>
        </w:rPr>
        <w:t>（七）其他输送或者谋取不正当利益的行为。</w:t>
      </w:r>
    </w:p>
    <w:p>
      <w:pPr>
        <w:spacing w:line="360" w:lineRule="auto"/>
        <w:ind w:firstLine="480" w:firstLineChars="200"/>
        <w:rPr>
          <w:rFonts w:ascii="仿宋_GB2312" w:hAnsi="仿宋" w:cs="仿宋"/>
        </w:rPr>
      </w:pPr>
    </w:p>
    <w:p>
      <w:pPr>
        <w:pStyle w:val="5"/>
      </w:pPr>
      <w:r>
        <w:rPr>
          <w:rFonts w:hint="eastAsia"/>
        </w:rPr>
        <w:t>8、证券期货经营机构的辅导和宣传义务</w:t>
      </w:r>
    </w:p>
    <w:p>
      <w:pPr>
        <w:spacing w:line="360" w:lineRule="auto"/>
        <w:ind w:firstLine="480" w:firstLineChars="200"/>
        <w:rPr>
          <w:rFonts w:ascii="仿宋_GB2312" w:hAnsi="仿宋" w:cs="仿宋"/>
        </w:rPr>
      </w:pPr>
      <w:r>
        <w:rPr>
          <w:rFonts w:hint="eastAsia" w:ascii="仿宋_GB2312" w:hAnsi="仿宋" w:cs="仿宋"/>
        </w:rPr>
        <w:t>依据：第十三条</w:t>
      </w:r>
    </w:p>
    <w:p>
      <w:pPr>
        <w:spacing w:line="360" w:lineRule="auto"/>
        <w:ind w:firstLine="480" w:firstLineChars="200"/>
        <w:rPr>
          <w:rFonts w:ascii="仿宋_GB2312" w:hAnsi="仿宋" w:cs="仿宋"/>
        </w:rPr>
      </w:pPr>
      <w:r>
        <w:rPr>
          <w:rFonts w:hint="eastAsia" w:ascii="仿宋_GB2312" w:hAnsi="仿宋" w:cs="仿宋"/>
        </w:rPr>
        <w:t>第十三条 证券期货经营机构应当对其股东、客户等相关方做好辅导和宣传工作，告知相关方应当遵守廉洁从业规定。</w:t>
      </w:r>
    </w:p>
    <w:p>
      <w:pPr>
        <w:spacing w:line="360" w:lineRule="auto"/>
        <w:ind w:firstLine="480" w:firstLineChars="200"/>
        <w:rPr>
          <w:rFonts w:ascii="仿宋_GB2312" w:hAnsi="仿宋" w:cs="仿宋"/>
        </w:rPr>
      </w:pPr>
    </w:p>
    <w:p>
      <w:pPr>
        <w:pStyle w:val="5"/>
      </w:pPr>
      <w:r>
        <w:rPr>
          <w:rFonts w:hint="eastAsia"/>
        </w:rPr>
        <w:t>9、违反廉洁从业要求的责任处理</w:t>
      </w:r>
    </w:p>
    <w:p>
      <w:pPr>
        <w:spacing w:line="360" w:lineRule="auto"/>
        <w:ind w:firstLine="480" w:firstLineChars="200"/>
        <w:rPr>
          <w:rFonts w:ascii="仿宋_GB2312" w:hAnsi="仿宋" w:cs="仿宋"/>
        </w:rPr>
      </w:pPr>
      <w:r>
        <w:rPr>
          <w:rFonts w:hint="eastAsia" w:ascii="仿宋_GB2312" w:hAnsi="仿宋" w:cs="仿宋"/>
        </w:rPr>
        <w:t>依据：第十四条</w:t>
      </w:r>
    </w:p>
    <w:p>
      <w:pPr>
        <w:spacing w:line="360" w:lineRule="auto"/>
        <w:ind w:firstLine="480" w:firstLineChars="200"/>
        <w:rPr>
          <w:rFonts w:ascii="仿宋_GB2312" w:hAnsi="仿宋" w:cs="仿宋"/>
        </w:rPr>
      </w:pPr>
      <w:r>
        <w:rPr>
          <w:rFonts w:hint="eastAsia" w:ascii="仿宋_GB2312" w:hAnsi="仿宋" w:cs="仿宋"/>
        </w:rPr>
        <w:t>第十四条 证券期货经营机构应当定期或者不定期开展廉洁从业内部检查，对发现的问题及时整改，对责任人严肃处理。</w:t>
      </w:r>
    </w:p>
    <w:p>
      <w:pPr>
        <w:spacing w:line="360" w:lineRule="auto"/>
        <w:ind w:firstLine="480" w:firstLineChars="200"/>
        <w:rPr>
          <w:rFonts w:ascii="仿宋_GB2312" w:hAnsi="仿宋" w:cs="仿宋"/>
        </w:rPr>
      </w:pPr>
      <w:r>
        <w:rPr>
          <w:rFonts w:hint="eastAsia" w:ascii="仿宋_GB2312" w:hAnsi="仿宋" w:cs="仿宋"/>
        </w:rPr>
        <w:t>责任人为中共党员的，同时按照党的纪律要求进行处理。</w:t>
      </w:r>
    </w:p>
    <w:p>
      <w:pPr>
        <w:spacing w:line="360" w:lineRule="auto"/>
        <w:ind w:firstLine="480" w:firstLineChars="200"/>
        <w:rPr>
          <w:rFonts w:ascii="仿宋_GB2312" w:hAnsi="仿宋" w:cs="仿宋"/>
        </w:rPr>
      </w:pPr>
    </w:p>
    <w:p>
      <w:pPr>
        <w:pStyle w:val="5"/>
      </w:pPr>
      <w:r>
        <w:rPr>
          <w:rFonts w:hint="eastAsia"/>
        </w:rPr>
        <w:t>10、廉洁从业情况的报告</w:t>
      </w:r>
    </w:p>
    <w:p>
      <w:pPr>
        <w:spacing w:line="360" w:lineRule="auto"/>
        <w:ind w:firstLine="480" w:firstLineChars="200"/>
        <w:rPr>
          <w:rFonts w:ascii="仿宋_GB2312" w:hAnsi="仿宋" w:cs="仿宋"/>
        </w:rPr>
      </w:pPr>
      <w:r>
        <w:rPr>
          <w:rFonts w:hint="eastAsia" w:ascii="仿宋_GB2312" w:hAnsi="仿宋" w:cs="仿宋"/>
        </w:rPr>
        <w:t>依据：第十五条</w:t>
      </w:r>
    </w:p>
    <w:p>
      <w:pPr>
        <w:spacing w:line="360" w:lineRule="auto"/>
        <w:ind w:firstLine="480" w:firstLineChars="200"/>
        <w:rPr>
          <w:rFonts w:ascii="仿宋_GB2312" w:hAnsi="仿宋" w:cs="仿宋"/>
        </w:rPr>
      </w:pPr>
      <w:r>
        <w:rPr>
          <w:rFonts w:hint="eastAsia" w:ascii="仿宋_GB2312" w:hAnsi="仿宋" w:cs="仿宋"/>
        </w:rPr>
        <w:t>第十五条 证券期货经营机构应当于每年4 月30 日前，向中国证监会有关派出机构报送上年度廉洁从业管理情况报告。</w:t>
      </w:r>
    </w:p>
    <w:p>
      <w:pPr>
        <w:spacing w:line="360" w:lineRule="auto"/>
        <w:ind w:firstLine="480" w:firstLineChars="200"/>
        <w:rPr>
          <w:rFonts w:ascii="仿宋_GB2312" w:hAnsi="仿宋" w:cs="仿宋"/>
        </w:rPr>
      </w:pPr>
      <w:r>
        <w:rPr>
          <w:rFonts w:hint="eastAsia" w:ascii="仿宋_GB2312" w:hAnsi="仿宋" w:cs="仿宋"/>
        </w:rPr>
        <w:t>有下列情形之一的，证券期货经营机构应当在五个工作日内，向中国证监会有关派出机构报告：</w:t>
      </w:r>
    </w:p>
    <w:p>
      <w:pPr>
        <w:spacing w:line="360" w:lineRule="auto"/>
        <w:ind w:firstLine="480" w:firstLineChars="200"/>
        <w:rPr>
          <w:rFonts w:ascii="仿宋_GB2312" w:hAnsi="仿宋" w:cs="仿宋"/>
        </w:rPr>
      </w:pPr>
      <w:r>
        <w:rPr>
          <w:rFonts w:hint="eastAsia" w:ascii="仿宋_GB2312" w:hAnsi="仿宋" w:cs="仿宋"/>
        </w:rPr>
        <w:t>（一）证券期货经营机构在内部检查中，发现存在违反本规定行为的；</w:t>
      </w:r>
    </w:p>
    <w:p>
      <w:pPr>
        <w:spacing w:line="360" w:lineRule="auto"/>
        <w:ind w:firstLine="480" w:firstLineChars="200"/>
        <w:rPr>
          <w:rFonts w:ascii="仿宋_GB2312" w:hAnsi="仿宋" w:cs="仿宋"/>
        </w:rPr>
      </w:pPr>
      <w:r>
        <w:rPr>
          <w:rFonts w:hint="eastAsia" w:ascii="仿宋_GB2312" w:hAnsi="仿宋" w:cs="仿宋"/>
        </w:rPr>
        <w:t>（二）证券期货经营机构及其工作人员发现监管人员存在应当回避的情形而未进行回避、利用职务之便索取或者收受不正当利益等违反廉洁规定行为的；</w:t>
      </w:r>
    </w:p>
    <w:p>
      <w:pPr>
        <w:spacing w:line="360" w:lineRule="auto"/>
        <w:ind w:firstLine="480" w:firstLineChars="200"/>
        <w:rPr>
          <w:rFonts w:ascii="仿宋_GB2312" w:hAnsi="仿宋" w:cs="仿宋"/>
        </w:rPr>
      </w:pPr>
      <w:r>
        <w:rPr>
          <w:rFonts w:hint="eastAsia" w:ascii="仿宋_GB2312" w:hAnsi="仿宋" w:cs="仿宋"/>
        </w:rPr>
        <w:t>（三）证券期货经营机构及其工作人员发现其股东、客户等相关方以不正当手段干扰监管工作的；</w:t>
      </w:r>
    </w:p>
    <w:p>
      <w:pPr>
        <w:spacing w:line="360" w:lineRule="auto"/>
        <w:ind w:firstLine="480" w:firstLineChars="200"/>
        <w:rPr>
          <w:rFonts w:ascii="仿宋_GB2312" w:hAnsi="仿宋" w:cs="仿宋"/>
        </w:rPr>
      </w:pPr>
      <w:r>
        <w:rPr>
          <w:rFonts w:hint="eastAsia" w:ascii="仿宋_GB2312" w:hAnsi="仿宋" w:cs="仿宋"/>
        </w:rPr>
        <w:t>（四）证券期货经营机构或者其工作人员因违反廉洁从业规定被纪检监察部门、司法机关立案调查或者被采取纪律处分、行政处罚、刑事处罚等措施的。</w:t>
      </w:r>
    </w:p>
    <w:p>
      <w:pPr>
        <w:spacing w:line="360" w:lineRule="auto"/>
        <w:ind w:firstLine="480" w:firstLineChars="200"/>
        <w:rPr>
          <w:rFonts w:ascii="仿宋_GB2312" w:hAnsi="仿宋" w:cs="仿宋"/>
        </w:rPr>
      </w:pPr>
      <w:r>
        <w:rPr>
          <w:rFonts w:hint="eastAsia" w:ascii="仿宋_GB2312" w:hAnsi="仿宋" w:cs="仿宋"/>
        </w:rPr>
        <w:t>出现前款第（一）项情形的，应当同时向主管纪检监察部门报告，出现第（一）（二）（三）项情形且涉嫌犯罪的，相关部门应当依法移送监察、司法机关。</w:t>
      </w:r>
    </w:p>
    <w:p>
      <w:pPr>
        <w:spacing w:line="360" w:lineRule="auto"/>
        <w:ind w:firstLine="480" w:firstLineChars="200"/>
        <w:rPr>
          <w:rFonts w:ascii="仿宋_GB2312" w:hAnsi="仿宋" w:cs="仿宋"/>
        </w:rPr>
      </w:pPr>
    </w:p>
    <w:p>
      <w:pPr>
        <w:pStyle w:val="5"/>
      </w:pPr>
      <w:r>
        <w:rPr>
          <w:rFonts w:hint="eastAsia"/>
        </w:rPr>
        <w:t>11、违反廉洁从业要求的市场禁入</w:t>
      </w:r>
    </w:p>
    <w:p>
      <w:pPr>
        <w:spacing w:line="360" w:lineRule="auto"/>
        <w:ind w:firstLine="480" w:firstLineChars="200"/>
        <w:rPr>
          <w:rFonts w:ascii="仿宋_GB2312" w:hAnsi="仿宋" w:cs="仿宋"/>
        </w:rPr>
      </w:pPr>
      <w:r>
        <w:rPr>
          <w:rFonts w:hint="eastAsia" w:ascii="仿宋_GB2312" w:hAnsi="仿宋" w:cs="仿宋"/>
        </w:rPr>
        <w:t>依据：第二十二条</w:t>
      </w:r>
    </w:p>
    <w:p>
      <w:pPr>
        <w:spacing w:line="360" w:lineRule="auto"/>
        <w:ind w:firstLine="480" w:firstLineChars="200"/>
        <w:rPr>
          <w:rFonts w:ascii="仿宋_GB2312" w:hAnsi="仿宋" w:cs="仿宋"/>
        </w:rPr>
      </w:pPr>
      <w:r>
        <w:rPr>
          <w:rFonts w:hint="eastAsia" w:ascii="仿宋_GB2312" w:hAnsi="仿宋" w:cs="仿宋"/>
        </w:rPr>
        <w:t>第二十二条 证券期货经营机构工作人员违反相关法律法规和本规定，情节严重的，中国证监会可以依法对其采取市场禁入的措施。</w:t>
      </w:r>
    </w:p>
    <w:p>
      <w:pPr>
        <w:spacing w:line="360" w:lineRule="auto"/>
        <w:ind w:firstLine="480" w:firstLineChars="200"/>
        <w:rPr>
          <w:rFonts w:ascii="仿宋_GB2312" w:hAnsi="仿宋" w:cs="仿宋"/>
        </w:rPr>
      </w:pPr>
      <w:r>
        <w:rPr>
          <w:rFonts w:hint="eastAsia" w:ascii="仿宋_GB2312" w:hAnsi="仿宋" w:cs="仿宋"/>
        </w:rPr>
        <w:t>证券期货经营机构工作人员在开展证券期货业务及相关活动中向公职人员及其利益关系人输送不正当利益，或者唆使、协助他人向公职人员及其利益关系人输送不正当利益，情节特别严重的，中国证监会可以依法对其采取终身市场禁入的措施。</w:t>
      </w:r>
    </w:p>
    <w:p>
      <w:pPr>
        <w:spacing w:line="360" w:lineRule="auto"/>
        <w:ind w:firstLine="480" w:firstLineChars="200"/>
        <w:rPr>
          <w:rFonts w:ascii="仿宋_GB2312" w:hAnsi="仿宋" w:cs="仿宋"/>
        </w:rPr>
      </w:pPr>
    </w:p>
    <w:p>
      <w:pPr>
        <w:pStyle w:val="5"/>
      </w:pPr>
      <w:r>
        <w:rPr>
          <w:rFonts w:hint="eastAsia"/>
        </w:rPr>
        <w:t>12、违反廉洁从业要求的从重处理情形</w:t>
      </w:r>
    </w:p>
    <w:p>
      <w:pPr>
        <w:spacing w:line="360" w:lineRule="auto"/>
        <w:ind w:firstLine="480" w:firstLineChars="200"/>
        <w:rPr>
          <w:rFonts w:ascii="仿宋_GB2312" w:hAnsi="仿宋" w:cs="仿宋"/>
        </w:rPr>
      </w:pPr>
      <w:r>
        <w:rPr>
          <w:rFonts w:hint="eastAsia" w:ascii="仿宋_GB2312" w:hAnsi="仿宋" w:cs="仿宋"/>
        </w:rPr>
        <w:t>依据：第二十三条</w:t>
      </w:r>
    </w:p>
    <w:p>
      <w:pPr>
        <w:spacing w:line="360" w:lineRule="auto"/>
        <w:ind w:firstLine="480" w:firstLineChars="200"/>
        <w:rPr>
          <w:rFonts w:ascii="仿宋_GB2312" w:hAnsi="仿宋" w:cs="仿宋"/>
        </w:rPr>
      </w:pPr>
      <w:r>
        <w:rPr>
          <w:rFonts w:hint="eastAsia" w:ascii="仿宋_GB2312" w:hAnsi="仿宋" w:cs="仿宋"/>
        </w:rPr>
        <w:t>第二十三条 证券期货经营机构及其工作人员违反本规定，有下列情形之一的，中国证监会应当从重处理：</w:t>
      </w:r>
    </w:p>
    <w:p>
      <w:pPr>
        <w:spacing w:line="360" w:lineRule="auto"/>
        <w:ind w:firstLine="480" w:firstLineChars="200"/>
        <w:rPr>
          <w:rFonts w:ascii="仿宋_GB2312" w:hAnsi="仿宋" w:cs="仿宋"/>
        </w:rPr>
      </w:pPr>
      <w:r>
        <w:rPr>
          <w:rFonts w:hint="eastAsia" w:ascii="仿宋_GB2312" w:hAnsi="仿宋" w:cs="仿宋"/>
        </w:rPr>
        <w:t>（一）直接、间接或者唆使、协助他人向监管人员输送利益；</w:t>
      </w:r>
    </w:p>
    <w:p>
      <w:pPr>
        <w:spacing w:line="360" w:lineRule="auto"/>
        <w:ind w:firstLine="480" w:firstLineChars="200"/>
        <w:rPr>
          <w:rFonts w:ascii="仿宋_GB2312" w:hAnsi="仿宋" w:cs="仿宋"/>
        </w:rPr>
      </w:pPr>
      <w:r>
        <w:rPr>
          <w:rFonts w:hint="eastAsia" w:ascii="仿宋_GB2312" w:hAnsi="仿宋" w:cs="仿宋"/>
        </w:rPr>
        <w:t>（二）连续或者多次违反本规定；</w:t>
      </w:r>
    </w:p>
    <w:p>
      <w:pPr>
        <w:spacing w:line="360" w:lineRule="auto"/>
        <w:ind w:firstLine="480" w:firstLineChars="200"/>
        <w:rPr>
          <w:rFonts w:ascii="仿宋_GB2312" w:hAnsi="仿宋" w:cs="仿宋"/>
        </w:rPr>
      </w:pPr>
      <w:r>
        <w:rPr>
          <w:rFonts w:hint="eastAsia" w:ascii="仿宋_GB2312" w:hAnsi="仿宋" w:cs="仿宋"/>
        </w:rPr>
        <w:t>（三）涉及金额较大或者涉及人员较多；</w:t>
      </w:r>
    </w:p>
    <w:p>
      <w:pPr>
        <w:spacing w:line="360" w:lineRule="auto"/>
        <w:ind w:firstLine="480" w:firstLineChars="200"/>
        <w:rPr>
          <w:rFonts w:ascii="仿宋_GB2312" w:hAnsi="仿宋" w:cs="仿宋"/>
        </w:rPr>
      </w:pPr>
      <w:r>
        <w:rPr>
          <w:rFonts w:hint="eastAsia" w:ascii="仿宋_GB2312" w:hAnsi="仿宋" w:cs="仿宋"/>
        </w:rPr>
        <w:t>（四）产生恶劣社会影响；</w:t>
      </w:r>
    </w:p>
    <w:p>
      <w:pPr>
        <w:spacing w:line="360" w:lineRule="auto"/>
        <w:ind w:firstLine="480" w:firstLineChars="200"/>
        <w:rPr>
          <w:rFonts w:ascii="仿宋_GB2312" w:hAnsi="仿宋" w:cs="仿宋"/>
        </w:rPr>
      </w:pPr>
      <w:r>
        <w:rPr>
          <w:rFonts w:hint="eastAsia" w:ascii="仿宋_GB2312" w:hAnsi="仿宋" w:cs="仿宋"/>
        </w:rPr>
        <w:t>（五）曾为公职人员特别是监管人员，以及曾任证券期货经营机构合规风控职务的人员违反本规定；</w:t>
      </w:r>
    </w:p>
    <w:p>
      <w:pPr>
        <w:spacing w:line="360" w:lineRule="auto"/>
        <w:ind w:firstLine="480" w:firstLineChars="200"/>
        <w:rPr>
          <w:rFonts w:ascii="仿宋_GB2312" w:hAnsi="仿宋" w:cs="仿宋"/>
        </w:rPr>
      </w:pPr>
      <w:r>
        <w:rPr>
          <w:rFonts w:hint="eastAsia" w:ascii="仿宋_GB2312" w:hAnsi="仿宋" w:cs="仿宋"/>
        </w:rPr>
        <w:t>（六）中国证监会认定应当从重处理的其他情形。</w:t>
      </w:r>
    </w:p>
    <w:p>
      <w:pPr>
        <w:widowControl/>
        <w:spacing w:line="360" w:lineRule="auto"/>
        <w:ind w:firstLine="465"/>
        <w:jc w:val="left"/>
        <w:rPr>
          <w:rFonts w:ascii="仿宋" w:hAnsi="仿宋"/>
        </w:rPr>
      </w:pPr>
    </w:p>
    <w:p>
      <w:pPr>
        <w:pStyle w:val="4"/>
        <w:rPr>
          <w:rFonts w:ascii="仿宋" w:hAnsi="仿宋"/>
          <w:szCs w:val="24"/>
        </w:rPr>
      </w:pPr>
      <w:bookmarkStart w:id="136" w:name="_Toc404963366"/>
      <w:bookmarkStart w:id="137" w:name="_Toc3896728"/>
      <w:bookmarkStart w:id="138" w:name="_Toc445043902"/>
      <w:r>
        <w:rPr>
          <w:rFonts w:hint="eastAsia" w:ascii="仿宋" w:hAnsi="仿宋"/>
          <w:szCs w:val="24"/>
        </w:rPr>
        <w:t>（五）《期货公司首席风险官管理规定（试行）》</w:t>
      </w:r>
      <w:bookmarkEnd w:id="136"/>
      <w:bookmarkEnd w:id="137"/>
      <w:bookmarkEnd w:id="138"/>
    </w:p>
    <w:p>
      <w:pPr>
        <w:pStyle w:val="5"/>
      </w:pPr>
      <w:r>
        <w:rPr>
          <w:rFonts w:hint="eastAsia"/>
        </w:rPr>
        <w:t>1、首席风险官的职责</w:t>
      </w:r>
    </w:p>
    <w:p>
      <w:pPr>
        <w:widowControl/>
        <w:spacing w:line="360" w:lineRule="auto"/>
        <w:ind w:firstLine="480" w:firstLineChars="200"/>
        <w:jc w:val="left"/>
        <w:rPr>
          <w:rFonts w:ascii="仿宋" w:hAnsi="仿宋"/>
        </w:rPr>
      </w:pPr>
      <w:r>
        <w:rPr>
          <w:rFonts w:hint="eastAsia" w:ascii="仿宋" w:hAnsi="仿宋"/>
        </w:rPr>
        <w:t>首席风险官负责对期货公司经营管理行为的合法合规性和风险管理状况进行监督检查的期货公司高级管理人员。首席风险官向期货公司董事会负责。</w:t>
      </w:r>
    </w:p>
    <w:p>
      <w:pPr>
        <w:spacing w:line="360" w:lineRule="auto"/>
        <w:ind w:firstLine="480" w:firstLineChars="200"/>
        <w:rPr>
          <w:rFonts w:ascii="仿宋" w:hAnsi="仿宋"/>
        </w:rPr>
      </w:pPr>
      <w:r>
        <w:rPr>
          <w:rFonts w:hint="eastAsia" w:ascii="仿宋" w:hAnsi="仿宋"/>
        </w:rPr>
        <w:t>依据：第二条</w:t>
      </w:r>
    </w:p>
    <w:p>
      <w:pPr>
        <w:widowControl/>
        <w:spacing w:line="360" w:lineRule="auto"/>
        <w:ind w:firstLine="480" w:firstLineChars="200"/>
        <w:jc w:val="left"/>
        <w:rPr>
          <w:rFonts w:ascii="仿宋" w:hAnsi="仿宋"/>
        </w:rPr>
      </w:pPr>
      <w:r>
        <w:rPr>
          <w:rFonts w:ascii="仿宋" w:hAnsi="仿宋"/>
        </w:rPr>
        <w:t>第二条 首席风险官是负责对期货公司经营管理行为的合法合规性和风险管理状况进行监督检查的期货公司高级管理人员。</w:t>
      </w:r>
    </w:p>
    <w:p>
      <w:pPr>
        <w:widowControl/>
        <w:spacing w:line="360" w:lineRule="auto"/>
        <w:ind w:firstLine="480" w:firstLineChars="200"/>
        <w:jc w:val="left"/>
        <w:rPr>
          <w:rFonts w:ascii="仿宋" w:hAnsi="仿宋"/>
        </w:rPr>
      </w:pPr>
      <w:r>
        <w:rPr>
          <w:rFonts w:ascii="仿宋" w:hAnsi="仿宋"/>
        </w:rPr>
        <w:t>首席风险官向期货公司董事会负责。</w:t>
      </w:r>
    </w:p>
    <w:p>
      <w:pPr>
        <w:pStyle w:val="5"/>
      </w:pPr>
      <w:r>
        <w:rPr>
          <w:rFonts w:hint="eastAsia"/>
        </w:rPr>
        <w:t>2、首席风险官的任命程序</w:t>
      </w:r>
    </w:p>
    <w:p>
      <w:pPr>
        <w:spacing w:line="360" w:lineRule="auto"/>
        <w:ind w:firstLine="480" w:firstLineChars="200"/>
        <w:rPr>
          <w:rFonts w:ascii="仿宋" w:hAnsi="仿宋"/>
        </w:rPr>
      </w:pPr>
      <w:r>
        <w:rPr>
          <w:rFonts w:hint="eastAsia" w:ascii="仿宋" w:hAnsi="仿宋"/>
        </w:rPr>
        <w:t>根据章程规定依法提名，还应当经全体独立董事同意</w:t>
      </w:r>
    </w:p>
    <w:p>
      <w:pPr>
        <w:spacing w:line="360" w:lineRule="auto"/>
        <w:ind w:firstLine="480" w:firstLineChars="200"/>
        <w:rPr>
          <w:rFonts w:ascii="仿宋" w:hAnsi="仿宋"/>
        </w:rPr>
      </w:pPr>
      <w:r>
        <w:rPr>
          <w:rFonts w:hint="eastAsia" w:ascii="仿宋" w:hAnsi="仿宋"/>
        </w:rPr>
        <w:t>依据：第六条</w:t>
      </w:r>
    </w:p>
    <w:p>
      <w:pPr>
        <w:widowControl/>
        <w:shd w:val="clear" w:color="auto" w:fill="FFFFFF"/>
        <w:spacing w:line="360" w:lineRule="auto"/>
        <w:ind w:firstLine="480" w:firstLineChars="200"/>
        <w:jc w:val="left"/>
        <w:rPr>
          <w:rFonts w:ascii="仿宋" w:hAnsi="仿宋" w:cs="宋体"/>
          <w:kern w:val="0"/>
        </w:rPr>
      </w:pPr>
      <w:r>
        <w:rPr>
          <w:rFonts w:ascii="仿宋" w:hAnsi="仿宋" w:cs="宋体"/>
          <w:kern w:val="0"/>
        </w:rPr>
        <w:t>第六条 期货公司应当根据公司章程的规定依法提名并聘任首席风险官。期货公司设有独立董事的，还应当经全体独立董事同意。</w:t>
      </w:r>
    </w:p>
    <w:p>
      <w:pPr>
        <w:spacing w:line="360" w:lineRule="auto"/>
        <w:ind w:firstLine="480" w:firstLineChars="200"/>
        <w:rPr>
          <w:rFonts w:ascii="仿宋" w:hAnsi="仿宋"/>
        </w:rPr>
      </w:pPr>
      <w:r>
        <w:rPr>
          <w:rFonts w:ascii="仿宋" w:hAnsi="仿宋" w:cs="宋体"/>
          <w:kern w:val="0"/>
        </w:rPr>
        <w:t>董事会选聘首席风险官，应当将其是否熟悉期货法律法规、是否诚信守法、是否具备胜任能力以及是否符合规定的任职条件作为主要判断标准。</w:t>
      </w:r>
    </w:p>
    <w:p>
      <w:pPr>
        <w:pStyle w:val="5"/>
      </w:pPr>
      <w:r>
        <w:rPr>
          <w:rFonts w:hint="eastAsia"/>
        </w:rPr>
        <w:t>3、首席风险官的禁止行为</w:t>
      </w:r>
    </w:p>
    <w:p>
      <w:pPr>
        <w:widowControl/>
        <w:spacing w:line="360" w:lineRule="auto"/>
        <w:ind w:firstLine="480" w:firstLineChars="200"/>
        <w:jc w:val="left"/>
        <w:rPr>
          <w:rFonts w:ascii="仿宋" w:hAnsi="仿宋" w:cs="宋体"/>
          <w:kern w:val="0"/>
        </w:rPr>
      </w:pPr>
      <w:r>
        <w:rPr>
          <w:rFonts w:hint="eastAsia" w:ascii="仿宋" w:hAnsi="仿宋" w:cs="宋体"/>
          <w:kern w:val="0"/>
        </w:rPr>
        <w:t>首席风险官不得有下列行为：（一）擅离职守，无故不履行职责或者授权他人代为履行职责；（二）在期货公司兼任除合规部门负责人以外的其他职务，或者从事可能影响其独立履行职责的活动；（三）对期货公司经营管理中存在的违法违规行为或者重大风险隐患知情不报、拖延报告或者作虚假报告；（四）利用职务之便牟取私利；（五）滥用职权，干预期货公司正常经营；（六）向与履职无关的第三方泄露期货公司秘密或者客户信息，损害期货公司或者客户的合法权益；（七）其他损害客户和期货公司合法权益的行为。</w:t>
      </w:r>
    </w:p>
    <w:p>
      <w:pPr>
        <w:spacing w:line="360" w:lineRule="auto"/>
        <w:ind w:firstLine="480" w:firstLineChars="200"/>
        <w:rPr>
          <w:rFonts w:ascii="仿宋" w:hAnsi="仿宋"/>
        </w:rPr>
      </w:pPr>
      <w:r>
        <w:rPr>
          <w:rFonts w:hint="eastAsia" w:ascii="仿宋" w:hAnsi="仿宋"/>
        </w:rPr>
        <w:t>依据：第十三条</w:t>
      </w:r>
    </w:p>
    <w:p>
      <w:pPr>
        <w:widowControl/>
        <w:shd w:val="clear" w:color="auto" w:fill="FFFFFF"/>
        <w:spacing w:line="360" w:lineRule="auto"/>
        <w:ind w:firstLine="480" w:firstLineChars="200"/>
        <w:jc w:val="left"/>
        <w:rPr>
          <w:rFonts w:ascii="仿宋" w:hAnsi="仿宋" w:cs="宋体"/>
          <w:kern w:val="0"/>
        </w:rPr>
      </w:pPr>
      <w:r>
        <w:rPr>
          <w:rFonts w:ascii="仿宋" w:hAnsi="仿宋" w:cs="宋体"/>
          <w:kern w:val="0"/>
        </w:rPr>
        <w:t>第十三条 首席风险官不得有下列行为：</w:t>
      </w:r>
    </w:p>
    <w:p>
      <w:pPr>
        <w:widowControl/>
        <w:shd w:val="clear" w:color="auto" w:fill="FFFFFF"/>
        <w:spacing w:line="360" w:lineRule="auto"/>
        <w:ind w:firstLine="480" w:firstLineChars="200"/>
        <w:jc w:val="left"/>
        <w:rPr>
          <w:rFonts w:ascii="仿宋" w:hAnsi="仿宋" w:cs="宋体"/>
          <w:kern w:val="0"/>
        </w:rPr>
      </w:pPr>
      <w:r>
        <w:rPr>
          <w:rFonts w:ascii="仿宋" w:hAnsi="仿宋" w:cs="宋体"/>
          <w:kern w:val="0"/>
        </w:rPr>
        <w:t>（一）擅离职守，无故不履行职责或者授权他人代为履行职责；</w:t>
      </w:r>
    </w:p>
    <w:p>
      <w:pPr>
        <w:widowControl/>
        <w:shd w:val="clear" w:color="auto" w:fill="FFFFFF"/>
        <w:spacing w:line="360" w:lineRule="auto"/>
        <w:ind w:firstLine="480" w:firstLineChars="200"/>
        <w:jc w:val="left"/>
        <w:rPr>
          <w:rFonts w:ascii="仿宋" w:hAnsi="仿宋" w:cs="宋体"/>
          <w:kern w:val="0"/>
        </w:rPr>
      </w:pPr>
      <w:r>
        <w:rPr>
          <w:rFonts w:ascii="仿宋" w:hAnsi="仿宋" w:cs="宋体"/>
          <w:kern w:val="0"/>
        </w:rPr>
        <w:t>（二）在期货公司兼任除合规部门负责人以外的其他职务，或者从事可能影响其独立履行职责的活动；</w:t>
      </w:r>
    </w:p>
    <w:p>
      <w:pPr>
        <w:widowControl/>
        <w:shd w:val="clear" w:color="auto" w:fill="FFFFFF"/>
        <w:spacing w:line="360" w:lineRule="auto"/>
        <w:ind w:firstLine="480" w:firstLineChars="200"/>
        <w:jc w:val="left"/>
        <w:rPr>
          <w:rFonts w:ascii="仿宋" w:hAnsi="仿宋" w:cs="宋体"/>
          <w:kern w:val="0"/>
        </w:rPr>
      </w:pPr>
      <w:r>
        <w:rPr>
          <w:rFonts w:ascii="仿宋" w:hAnsi="仿宋" w:cs="宋体"/>
          <w:kern w:val="0"/>
        </w:rPr>
        <w:t>（三）对期货公司经营管理中存在的违法违规行为或者重大风险隐患知情不报、拖延报告或者作虚假报告；</w:t>
      </w:r>
    </w:p>
    <w:p>
      <w:pPr>
        <w:widowControl/>
        <w:shd w:val="clear" w:color="auto" w:fill="FFFFFF"/>
        <w:spacing w:line="360" w:lineRule="auto"/>
        <w:ind w:firstLine="480" w:firstLineChars="200"/>
        <w:jc w:val="left"/>
        <w:rPr>
          <w:rFonts w:ascii="仿宋" w:hAnsi="仿宋" w:cs="宋体"/>
          <w:kern w:val="0"/>
        </w:rPr>
      </w:pPr>
      <w:r>
        <w:rPr>
          <w:rFonts w:ascii="仿宋" w:hAnsi="仿宋" w:cs="宋体"/>
          <w:kern w:val="0"/>
        </w:rPr>
        <w:t>（四）利用职务之便牟取私利；</w:t>
      </w:r>
    </w:p>
    <w:p>
      <w:pPr>
        <w:widowControl/>
        <w:shd w:val="clear" w:color="auto" w:fill="FFFFFF"/>
        <w:spacing w:line="360" w:lineRule="auto"/>
        <w:ind w:firstLine="480" w:firstLineChars="200"/>
        <w:jc w:val="left"/>
        <w:rPr>
          <w:rFonts w:ascii="仿宋" w:hAnsi="仿宋" w:cs="宋体"/>
          <w:kern w:val="0"/>
        </w:rPr>
      </w:pPr>
      <w:r>
        <w:rPr>
          <w:rFonts w:ascii="仿宋" w:hAnsi="仿宋" w:cs="宋体"/>
          <w:kern w:val="0"/>
        </w:rPr>
        <w:t>（五）滥用职权，干预期货公司正常经营；</w:t>
      </w:r>
    </w:p>
    <w:p>
      <w:pPr>
        <w:widowControl/>
        <w:shd w:val="clear" w:color="auto" w:fill="FFFFFF"/>
        <w:spacing w:line="360" w:lineRule="auto"/>
        <w:ind w:firstLine="480" w:firstLineChars="200"/>
        <w:jc w:val="left"/>
        <w:rPr>
          <w:rFonts w:ascii="仿宋" w:hAnsi="仿宋" w:cs="宋体"/>
          <w:kern w:val="0"/>
        </w:rPr>
      </w:pPr>
      <w:r>
        <w:rPr>
          <w:rFonts w:ascii="仿宋" w:hAnsi="仿宋" w:cs="宋体"/>
          <w:kern w:val="0"/>
        </w:rPr>
        <w:t>（六）向与履职无关的第三方泄露期货公司秘密或者客户信息，损害期货公司或者客户的合法权益；</w:t>
      </w:r>
    </w:p>
    <w:p>
      <w:pPr>
        <w:spacing w:line="360" w:lineRule="auto"/>
        <w:ind w:firstLine="480" w:firstLineChars="200"/>
        <w:rPr>
          <w:rFonts w:ascii="仿宋" w:hAnsi="仿宋"/>
        </w:rPr>
      </w:pPr>
      <w:r>
        <w:rPr>
          <w:rFonts w:ascii="仿宋" w:hAnsi="仿宋" w:cs="宋体"/>
          <w:kern w:val="0"/>
        </w:rPr>
        <w:t>（七）其他损害客户和期货公司合法权益的行为。</w:t>
      </w:r>
    </w:p>
    <w:p>
      <w:pPr>
        <w:pStyle w:val="5"/>
      </w:pPr>
      <w:r>
        <w:rPr>
          <w:rFonts w:hint="eastAsia"/>
        </w:rPr>
        <w:t>4、首席风险官的免职与免职程序</w:t>
      </w:r>
    </w:p>
    <w:p>
      <w:pPr>
        <w:spacing w:line="360" w:lineRule="auto"/>
        <w:ind w:firstLine="480" w:firstLineChars="200"/>
        <w:rPr>
          <w:rFonts w:ascii="仿宋" w:hAnsi="仿宋"/>
        </w:rPr>
      </w:pPr>
      <w:r>
        <w:rPr>
          <w:rFonts w:hint="eastAsia" w:ascii="仿宋" w:hAnsi="仿宋"/>
        </w:rPr>
        <w:t>首席风险官任期届满前，期货公司董事会无正当理由不得免除其职务。</w:t>
      </w:r>
    </w:p>
    <w:p>
      <w:pPr>
        <w:spacing w:line="360" w:lineRule="auto"/>
        <w:ind w:firstLine="480" w:firstLineChars="200"/>
        <w:rPr>
          <w:rFonts w:ascii="仿宋" w:hAnsi="仿宋"/>
        </w:rPr>
      </w:pPr>
      <w:r>
        <w:rPr>
          <w:rFonts w:hint="eastAsia" w:ascii="仿宋" w:hAnsi="仿宋"/>
        </w:rPr>
        <w:t>拟免除职务应当提前通知本人，并书面报告证监会派出机构。</w:t>
      </w:r>
    </w:p>
    <w:p>
      <w:pPr>
        <w:spacing w:line="360" w:lineRule="auto"/>
        <w:ind w:firstLine="480" w:firstLineChars="200"/>
        <w:rPr>
          <w:rFonts w:ascii="仿宋" w:hAnsi="仿宋"/>
        </w:rPr>
      </w:pPr>
      <w:r>
        <w:rPr>
          <w:rFonts w:hint="eastAsia" w:ascii="仿宋" w:hAnsi="仿宋"/>
        </w:rPr>
        <w:t>依据：第十四条、第十六条</w:t>
      </w:r>
    </w:p>
    <w:p>
      <w:pPr>
        <w:spacing w:line="360" w:lineRule="auto"/>
        <w:ind w:firstLine="480" w:firstLineChars="200"/>
        <w:rPr>
          <w:rFonts w:ascii="仿宋" w:hAnsi="仿宋" w:cs="宋体"/>
          <w:kern w:val="0"/>
        </w:rPr>
      </w:pPr>
      <w:r>
        <w:rPr>
          <w:rFonts w:ascii="仿宋" w:hAnsi="仿宋" w:cs="宋体"/>
          <w:kern w:val="0"/>
        </w:rPr>
        <w:t>第十四条 首席风险官任期届满前，期货公司董事会无正当理由不得免除其职务。</w:t>
      </w:r>
    </w:p>
    <w:p>
      <w:pPr>
        <w:widowControl/>
        <w:shd w:val="clear" w:color="auto" w:fill="FFFFFF"/>
        <w:spacing w:line="360" w:lineRule="auto"/>
        <w:ind w:firstLine="480" w:firstLineChars="200"/>
        <w:jc w:val="left"/>
        <w:rPr>
          <w:rFonts w:ascii="仿宋" w:hAnsi="仿宋" w:cs="宋体"/>
          <w:kern w:val="0"/>
        </w:rPr>
      </w:pPr>
      <w:r>
        <w:rPr>
          <w:rFonts w:ascii="仿宋" w:hAnsi="仿宋" w:cs="宋体"/>
          <w:kern w:val="0"/>
        </w:rPr>
        <w:t>第十六条 期货公司董事会拟免除首席风险官职务的，应当提前通知本人，并按规定将免职理由、首席风险官履行职责情况及替代人选名单书面报告公司住所地中国证监会派出机构。</w:t>
      </w:r>
    </w:p>
    <w:p>
      <w:pPr>
        <w:spacing w:line="360" w:lineRule="auto"/>
        <w:ind w:firstLine="480" w:firstLineChars="200"/>
        <w:rPr>
          <w:rFonts w:ascii="仿宋" w:hAnsi="仿宋"/>
        </w:rPr>
      </w:pPr>
      <w:r>
        <w:rPr>
          <w:rFonts w:ascii="仿宋" w:hAnsi="仿宋" w:cs="宋体"/>
          <w:kern w:val="0"/>
        </w:rPr>
        <w:t>被免职的首席风险官可以向公司住所地中国证监会派出机构解释说明情况。</w:t>
      </w:r>
    </w:p>
    <w:p>
      <w:pPr>
        <w:pStyle w:val="5"/>
      </w:pPr>
      <w:r>
        <w:rPr>
          <w:rFonts w:hint="eastAsia"/>
        </w:rPr>
        <w:t>5、首席风险官的报告对象</w:t>
      </w:r>
    </w:p>
    <w:p>
      <w:pPr>
        <w:spacing w:line="360" w:lineRule="auto"/>
        <w:ind w:firstLine="480" w:firstLineChars="200"/>
        <w:rPr>
          <w:rFonts w:ascii="仿宋" w:hAnsi="仿宋"/>
        </w:rPr>
      </w:pPr>
      <w:r>
        <w:rPr>
          <w:rFonts w:hint="eastAsia" w:ascii="仿宋" w:hAnsi="仿宋"/>
        </w:rPr>
        <w:t>首席风险官应当向期货公司总经理、董事会和公司住所地中国证监会派出机构报告。</w:t>
      </w:r>
    </w:p>
    <w:p>
      <w:pPr>
        <w:spacing w:line="360" w:lineRule="auto"/>
        <w:ind w:firstLine="480" w:firstLineChars="200"/>
        <w:rPr>
          <w:rFonts w:ascii="仿宋" w:hAnsi="仿宋"/>
        </w:rPr>
      </w:pPr>
      <w:r>
        <w:rPr>
          <w:rFonts w:hint="eastAsia" w:ascii="仿宋" w:hAnsi="仿宋"/>
        </w:rPr>
        <w:t>依据：第十九条</w:t>
      </w:r>
    </w:p>
    <w:p>
      <w:pPr>
        <w:widowControl/>
        <w:shd w:val="clear" w:color="auto" w:fill="FFFFFF"/>
        <w:spacing w:line="360" w:lineRule="auto"/>
        <w:ind w:firstLine="480" w:firstLineChars="200"/>
        <w:jc w:val="left"/>
        <w:rPr>
          <w:rFonts w:ascii="仿宋" w:hAnsi="仿宋" w:cs="宋体"/>
          <w:kern w:val="0"/>
        </w:rPr>
      </w:pPr>
      <w:r>
        <w:rPr>
          <w:rFonts w:ascii="仿宋" w:hAnsi="仿宋" w:cs="宋体"/>
          <w:kern w:val="0"/>
        </w:rPr>
        <w:t>第十九条 首席风险官应当向期货公司总经理、董事会和公司住所地中国证监会派出机构报告公司经营管理行为的合法合规性和风险管理状况。</w:t>
      </w:r>
    </w:p>
    <w:p>
      <w:pPr>
        <w:spacing w:line="360" w:lineRule="auto"/>
        <w:ind w:firstLine="480" w:firstLineChars="200"/>
        <w:rPr>
          <w:rFonts w:ascii="仿宋" w:hAnsi="仿宋"/>
        </w:rPr>
      </w:pPr>
      <w:r>
        <w:rPr>
          <w:rFonts w:ascii="仿宋" w:hAnsi="仿宋" w:cs="宋体"/>
          <w:kern w:val="0"/>
        </w:rPr>
        <w:t>首席风险官应当按照中国证监会派出机构的要求对期货公司有关问题进行核查，并及时将核查结果报告公司住所地中国证监会派出机构。</w:t>
      </w:r>
    </w:p>
    <w:p>
      <w:pPr>
        <w:pStyle w:val="5"/>
      </w:pPr>
      <w:r>
        <w:rPr>
          <w:rFonts w:hint="eastAsia"/>
        </w:rPr>
        <w:t>6、首席风险官发现期货公司经营管理行为的合法合规性、风险管理性存在问题时，应采取的措施</w:t>
      </w:r>
    </w:p>
    <w:p>
      <w:pPr>
        <w:spacing w:line="360" w:lineRule="auto"/>
        <w:ind w:firstLine="480" w:firstLineChars="200"/>
        <w:rPr>
          <w:rFonts w:ascii="仿宋" w:hAnsi="仿宋"/>
        </w:rPr>
      </w:pPr>
      <w:r>
        <w:rPr>
          <w:rFonts w:hint="eastAsia" w:ascii="仿宋" w:hAnsi="仿宋"/>
        </w:rPr>
        <w:t>提出整改意见、拒不整改的向董事长、风险管理委员会或监事会报告，必要时可向中国证监会派出机构报告</w:t>
      </w:r>
    </w:p>
    <w:p>
      <w:pPr>
        <w:spacing w:line="360" w:lineRule="auto"/>
        <w:ind w:firstLine="480" w:firstLineChars="200"/>
        <w:rPr>
          <w:rFonts w:ascii="仿宋" w:hAnsi="仿宋"/>
        </w:rPr>
      </w:pPr>
      <w:r>
        <w:rPr>
          <w:rFonts w:hint="eastAsia" w:ascii="仿宋" w:hAnsi="仿宋"/>
        </w:rPr>
        <w:t>依据：第二十三条</w:t>
      </w:r>
    </w:p>
    <w:p>
      <w:pPr>
        <w:widowControl/>
        <w:shd w:val="clear" w:color="auto" w:fill="FFFFFF"/>
        <w:spacing w:line="360" w:lineRule="auto"/>
        <w:ind w:firstLine="480" w:firstLineChars="200"/>
        <w:jc w:val="left"/>
        <w:rPr>
          <w:rFonts w:ascii="仿宋" w:hAnsi="仿宋" w:cs="宋体"/>
          <w:kern w:val="0"/>
        </w:rPr>
      </w:pPr>
      <w:r>
        <w:rPr>
          <w:rFonts w:ascii="仿宋" w:hAnsi="仿宋" w:cs="宋体"/>
          <w:kern w:val="0"/>
        </w:rPr>
        <w:t>第二十三条 首席风险官发现期货公司经营管理行为的合法合规性、风险管理等方面存在除本规定第二十四条所列违法违规行为和重大风险隐患之外的其他问题的，应当及时向总经理或者相关负责人提出整改意见。</w:t>
      </w:r>
    </w:p>
    <w:p>
      <w:pPr>
        <w:spacing w:line="360" w:lineRule="auto"/>
        <w:ind w:firstLine="480" w:firstLineChars="200"/>
        <w:rPr>
          <w:rFonts w:ascii="仿宋" w:hAnsi="仿宋"/>
        </w:rPr>
      </w:pPr>
      <w:r>
        <w:rPr>
          <w:rFonts w:ascii="仿宋" w:hAnsi="仿宋" w:cs="宋体"/>
          <w:kern w:val="0"/>
        </w:rPr>
        <w:t>总经理或者相关负责人对存在问题不整改或者整改未达到要求的，首席风险官应当及时向期货公司董事长、董事会常设的风险管理委员会或者监事会报告，必要时向公司住所地中国证监会派出机构报告。未设监事会的期货公司，可报告监事。</w:t>
      </w:r>
    </w:p>
    <w:p>
      <w:pPr>
        <w:pStyle w:val="5"/>
      </w:pPr>
      <w:r>
        <w:rPr>
          <w:rFonts w:hint="eastAsia"/>
        </w:rPr>
        <w:t>7、首席风险官发现期货公司存在重大违法违规行为或重大风险隐患的，应当采取的措施</w:t>
      </w:r>
    </w:p>
    <w:p>
      <w:pPr>
        <w:spacing w:line="360" w:lineRule="auto"/>
        <w:ind w:firstLine="480" w:firstLineChars="200"/>
        <w:rPr>
          <w:rFonts w:ascii="仿宋" w:hAnsi="仿宋"/>
        </w:rPr>
      </w:pPr>
      <w:r>
        <w:rPr>
          <w:rFonts w:hint="eastAsia" w:ascii="仿宋" w:hAnsi="仿宋"/>
        </w:rPr>
        <w:t>立即向中国证监会派出机构报告，并向公司董事会、监事会报告</w:t>
      </w:r>
    </w:p>
    <w:p>
      <w:pPr>
        <w:spacing w:line="360" w:lineRule="auto"/>
        <w:ind w:firstLine="480" w:firstLineChars="200"/>
        <w:rPr>
          <w:rFonts w:ascii="仿宋" w:hAnsi="仿宋"/>
        </w:rPr>
      </w:pPr>
      <w:r>
        <w:rPr>
          <w:rFonts w:hint="eastAsia" w:ascii="仿宋" w:hAnsi="仿宋"/>
        </w:rPr>
        <w:t>依据：第二十四条</w:t>
      </w:r>
    </w:p>
    <w:p>
      <w:pPr>
        <w:widowControl/>
        <w:shd w:val="clear" w:color="auto" w:fill="FFFFFF"/>
        <w:spacing w:line="360" w:lineRule="auto"/>
        <w:ind w:firstLine="480" w:firstLineChars="200"/>
        <w:jc w:val="left"/>
        <w:rPr>
          <w:rFonts w:ascii="仿宋" w:hAnsi="仿宋" w:cs="宋体"/>
          <w:kern w:val="0"/>
        </w:rPr>
      </w:pPr>
      <w:r>
        <w:rPr>
          <w:rFonts w:ascii="仿宋" w:hAnsi="仿宋" w:cs="宋体"/>
          <w:kern w:val="0"/>
        </w:rPr>
        <w:t>第二十四条 首席风险官发现期货公司有下列违法违规行为或者存在重大风险隐患的，应当立即向公司住所地中国证监会派出机构报告，并向公司董事会和监事会报告：</w:t>
      </w:r>
    </w:p>
    <w:p>
      <w:pPr>
        <w:widowControl/>
        <w:shd w:val="clear" w:color="auto" w:fill="FFFFFF"/>
        <w:spacing w:line="360" w:lineRule="auto"/>
        <w:ind w:firstLine="480" w:firstLineChars="200"/>
        <w:jc w:val="left"/>
        <w:rPr>
          <w:rFonts w:ascii="仿宋" w:hAnsi="仿宋" w:cs="宋体"/>
          <w:kern w:val="0"/>
        </w:rPr>
      </w:pPr>
      <w:r>
        <w:rPr>
          <w:rFonts w:ascii="仿宋" w:hAnsi="仿宋" w:cs="宋体"/>
          <w:kern w:val="0"/>
        </w:rPr>
        <w:t>（一）涉嫌占用、挪用客户保证金等侵害客户权益的；</w:t>
      </w:r>
    </w:p>
    <w:p>
      <w:pPr>
        <w:widowControl/>
        <w:shd w:val="clear" w:color="auto" w:fill="FFFFFF"/>
        <w:spacing w:line="360" w:lineRule="auto"/>
        <w:ind w:firstLine="480" w:firstLineChars="200"/>
        <w:jc w:val="left"/>
        <w:rPr>
          <w:rFonts w:ascii="仿宋" w:hAnsi="仿宋" w:cs="宋体"/>
          <w:kern w:val="0"/>
        </w:rPr>
      </w:pPr>
      <w:r>
        <w:rPr>
          <w:rFonts w:ascii="仿宋" w:hAnsi="仿宋" w:cs="宋体"/>
          <w:kern w:val="0"/>
        </w:rPr>
        <w:t>（二）期货公司资产被抽逃、占用、挪用、查封、冻结或者用于担保的；</w:t>
      </w:r>
    </w:p>
    <w:p>
      <w:pPr>
        <w:widowControl/>
        <w:shd w:val="clear" w:color="auto" w:fill="FFFFFF"/>
        <w:spacing w:line="360" w:lineRule="auto"/>
        <w:ind w:firstLine="480" w:firstLineChars="200"/>
        <w:jc w:val="left"/>
        <w:rPr>
          <w:rFonts w:ascii="仿宋" w:hAnsi="仿宋" w:cs="宋体"/>
          <w:kern w:val="0"/>
        </w:rPr>
      </w:pPr>
      <w:r>
        <w:rPr>
          <w:rFonts w:ascii="仿宋" w:hAnsi="仿宋" w:cs="宋体"/>
          <w:kern w:val="0"/>
        </w:rPr>
        <w:t>（三）期货公司净资本无法持续达到监管标准的；</w:t>
      </w:r>
    </w:p>
    <w:p>
      <w:pPr>
        <w:widowControl/>
        <w:shd w:val="clear" w:color="auto" w:fill="FFFFFF"/>
        <w:spacing w:line="360" w:lineRule="auto"/>
        <w:ind w:firstLine="480" w:firstLineChars="200"/>
        <w:jc w:val="left"/>
        <w:rPr>
          <w:rFonts w:ascii="仿宋" w:hAnsi="仿宋" w:cs="宋体"/>
          <w:kern w:val="0"/>
        </w:rPr>
      </w:pPr>
      <w:r>
        <w:rPr>
          <w:rFonts w:ascii="仿宋" w:hAnsi="仿宋" w:cs="宋体"/>
          <w:kern w:val="0"/>
        </w:rPr>
        <w:t>（四）期货公司发生重大诉讼或者仲裁，可能造成重大风险的；</w:t>
      </w:r>
    </w:p>
    <w:p>
      <w:pPr>
        <w:widowControl/>
        <w:shd w:val="clear" w:color="auto" w:fill="FFFFFF"/>
        <w:spacing w:line="360" w:lineRule="auto"/>
        <w:ind w:firstLine="480" w:firstLineChars="200"/>
        <w:jc w:val="left"/>
        <w:rPr>
          <w:rFonts w:ascii="仿宋" w:hAnsi="仿宋" w:cs="宋体"/>
          <w:kern w:val="0"/>
        </w:rPr>
      </w:pPr>
      <w:r>
        <w:rPr>
          <w:rFonts w:ascii="仿宋" w:hAnsi="仿宋" w:cs="宋体"/>
          <w:kern w:val="0"/>
        </w:rPr>
        <w:t>（五）股东干预期货公司正常经营的；</w:t>
      </w:r>
    </w:p>
    <w:p>
      <w:pPr>
        <w:widowControl/>
        <w:shd w:val="clear" w:color="auto" w:fill="FFFFFF"/>
        <w:spacing w:line="360" w:lineRule="auto"/>
        <w:ind w:firstLine="480" w:firstLineChars="200"/>
        <w:jc w:val="left"/>
        <w:rPr>
          <w:rFonts w:ascii="仿宋" w:hAnsi="仿宋" w:cs="宋体"/>
          <w:kern w:val="0"/>
        </w:rPr>
      </w:pPr>
      <w:r>
        <w:rPr>
          <w:rFonts w:ascii="仿宋" w:hAnsi="仿宋" w:cs="宋体"/>
          <w:kern w:val="0"/>
        </w:rPr>
        <w:t>（六）中国证监会规定的其他情形。</w:t>
      </w:r>
    </w:p>
    <w:p>
      <w:pPr>
        <w:spacing w:line="360" w:lineRule="auto"/>
        <w:ind w:firstLine="480" w:firstLineChars="200"/>
        <w:rPr>
          <w:rFonts w:ascii="仿宋" w:hAnsi="仿宋"/>
        </w:rPr>
      </w:pPr>
      <w:r>
        <w:rPr>
          <w:rFonts w:ascii="仿宋" w:hAnsi="仿宋" w:cs="宋体"/>
          <w:kern w:val="0"/>
        </w:rPr>
        <w:t>对上述情形，期货公司应当按照公司住所地中国证监会派出机构的整改意见进行整改。首席风险官应当配合整改，并将整改情况向公司住所地中国证监会派出机构报告。</w:t>
      </w:r>
    </w:p>
    <w:p>
      <w:pPr>
        <w:pStyle w:val="5"/>
      </w:pPr>
      <w:r>
        <w:rPr>
          <w:rFonts w:hint="eastAsia"/>
        </w:rPr>
        <w:t>8、首席风险官履职享有的职权</w:t>
      </w:r>
    </w:p>
    <w:p>
      <w:pPr>
        <w:widowControl/>
        <w:spacing w:line="360" w:lineRule="auto"/>
        <w:ind w:firstLine="480" w:firstLineChars="200"/>
        <w:jc w:val="left"/>
        <w:rPr>
          <w:rFonts w:ascii="仿宋" w:hAnsi="仿宋" w:cs="宋体"/>
          <w:kern w:val="0"/>
        </w:rPr>
      </w:pPr>
      <w:r>
        <w:rPr>
          <w:rFonts w:hint="eastAsia" w:ascii="仿宋" w:hAnsi="仿宋" w:cs="宋体"/>
          <w:kern w:val="0"/>
        </w:rPr>
        <w:t>（一）参加或者列席与其履职相关的会议；</w:t>
      </w:r>
    </w:p>
    <w:p>
      <w:pPr>
        <w:widowControl/>
        <w:spacing w:line="360" w:lineRule="auto"/>
        <w:ind w:firstLine="480" w:firstLineChars="200"/>
        <w:jc w:val="left"/>
        <w:rPr>
          <w:rFonts w:ascii="仿宋" w:hAnsi="仿宋" w:cs="宋体"/>
          <w:kern w:val="0"/>
        </w:rPr>
      </w:pPr>
      <w:r>
        <w:rPr>
          <w:rFonts w:hint="eastAsia" w:ascii="仿宋" w:hAnsi="仿宋" w:cs="宋体"/>
          <w:kern w:val="0"/>
        </w:rPr>
        <w:t>（二）查阅期货公司的相关文件、档案和资料；</w:t>
      </w:r>
    </w:p>
    <w:p>
      <w:pPr>
        <w:widowControl/>
        <w:spacing w:line="360" w:lineRule="auto"/>
        <w:ind w:firstLine="480" w:firstLineChars="200"/>
        <w:jc w:val="left"/>
        <w:rPr>
          <w:rFonts w:ascii="仿宋" w:hAnsi="仿宋" w:cs="宋体"/>
          <w:kern w:val="0"/>
        </w:rPr>
      </w:pPr>
      <w:r>
        <w:rPr>
          <w:rFonts w:hint="eastAsia" w:ascii="仿宋" w:hAnsi="仿宋" w:cs="宋体"/>
          <w:kern w:val="0"/>
        </w:rPr>
        <w:t>（三）与期货公司有关人员、为期货公司提供审计、法律等中介服务的机构的有关人员进行谈话；</w:t>
      </w:r>
    </w:p>
    <w:p>
      <w:pPr>
        <w:widowControl/>
        <w:spacing w:line="360" w:lineRule="auto"/>
        <w:ind w:firstLine="480" w:firstLineChars="200"/>
        <w:jc w:val="left"/>
        <w:rPr>
          <w:rFonts w:ascii="仿宋" w:hAnsi="仿宋" w:cs="宋体"/>
          <w:kern w:val="0"/>
        </w:rPr>
      </w:pPr>
      <w:r>
        <w:rPr>
          <w:rFonts w:hint="eastAsia" w:ascii="仿宋" w:hAnsi="仿宋" w:cs="宋体"/>
          <w:kern w:val="0"/>
        </w:rPr>
        <w:t>（四）了解期货公司业务执行情况。</w:t>
      </w:r>
    </w:p>
    <w:p>
      <w:pPr>
        <w:widowControl/>
        <w:spacing w:line="360" w:lineRule="auto"/>
        <w:ind w:firstLine="480" w:firstLineChars="200"/>
        <w:jc w:val="left"/>
        <w:rPr>
          <w:rFonts w:ascii="仿宋" w:hAnsi="仿宋" w:cs="宋体"/>
          <w:kern w:val="0"/>
        </w:rPr>
      </w:pPr>
      <w:r>
        <w:rPr>
          <w:rFonts w:hint="eastAsia" w:ascii="仿宋" w:hAnsi="仿宋" w:cs="宋体"/>
          <w:kern w:val="0"/>
        </w:rPr>
        <w:t>（五）公司章程规定的其他职权。</w:t>
      </w:r>
    </w:p>
    <w:p>
      <w:pPr>
        <w:spacing w:line="360" w:lineRule="auto"/>
        <w:ind w:firstLine="480" w:firstLineChars="200"/>
        <w:rPr>
          <w:rFonts w:ascii="仿宋" w:hAnsi="仿宋"/>
        </w:rPr>
      </w:pPr>
      <w:r>
        <w:rPr>
          <w:rFonts w:hint="eastAsia" w:ascii="仿宋" w:hAnsi="仿宋"/>
        </w:rPr>
        <w:t>依据：第二十五条</w:t>
      </w:r>
    </w:p>
    <w:p>
      <w:pPr>
        <w:widowControl/>
        <w:shd w:val="clear" w:color="auto" w:fill="FFFFFF"/>
        <w:spacing w:line="360" w:lineRule="auto"/>
        <w:ind w:firstLine="480" w:firstLineChars="200"/>
        <w:jc w:val="left"/>
        <w:rPr>
          <w:rFonts w:ascii="仿宋" w:hAnsi="仿宋" w:cs="宋体"/>
          <w:kern w:val="0"/>
        </w:rPr>
      </w:pPr>
      <w:r>
        <w:rPr>
          <w:rFonts w:ascii="仿宋" w:hAnsi="仿宋" w:cs="宋体"/>
          <w:kern w:val="0"/>
        </w:rPr>
        <w:t>第二十五条 首席风险官根据履行职责的需要，享有下列职权：</w:t>
      </w:r>
    </w:p>
    <w:p>
      <w:pPr>
        <w:widowControl/>
        <w:shd w:val="clear" w:color="auto" w:fill="FFFFFF"/>
        <w:spacing w:line="360" w:lineRule="auto"/>
        <w:ind w:firstLine="480" w:firstLineChars="200"/>
        <w:jc w:val="left"/>
        <w:rPr>
          <w:rFonts w:ascii="仿宋" w:hAnsi="仿宋" w:cs="宋体"/>
          <w:kern w:val="0"/>
        </w:rPr>
      </w:pPr>
      <w:r>
        <w:rPr>
          <w:rFonts w:ascii="仿宋" w:hAnsi="仿宋" w:cs="宋体"/>
          <w:kern w:val="0"/>
        </w:rPr>
        <w:t>（一）参加或者列席与其履职相关的会议；</w:t>
      </w:r>
    </w:p>
    <w:p>
      <w:pPr>
        <w:widowControl/>
        <w:shd w:val="clear" w:color="auto" w:fill="FFFFFF"/>
        <w:spacing w:line="360" w:lineRule="auto"/>
        <w:ind w:firstLine="480" w:firstLineChars="200"/>
        <w:jc w:val="left"/>
        <w:rPr>
          <w:rFonts w:ascii="仿宋" w:hAnsi="仿宋" w:cs="宋体"/>
          <w:kern w:val="0"/>
        </w:rPr>
      </w:pPr>
      <w:r>
        <w:rPr>
          <w:rFonts w:ascii="仿宋" w:hAnsi="仿宋" w:cs="宋体"/>
          <w:kern w:val="0"/>
        </w:rPr>
        <w:t>（二）查阅期货公司的相关文件、档案和资料；</w:t>
      </w:r>
    </w:p>
    <w:p>
      <w:pPr>
        <w:widowControl/>
        <w:shd w:val="clear" w:color="auto" w:fill="FFFFFF"/>
        <w:spacing w:line="360" w:lineRule="auto"/>
        <w:ind w:firstLine="480" w:firstLineChars="200"/>
        <w:jc w:val="left"/>
        <w:rPr>
          <w:rFonts w:ascii="仿宋" w:hAnsi="仿宋" w:cs="宋体"/>
          <w:kern w:val="0"/>
        </w:rPr>
      </w:pPr>
      <w:r>
        <w:rPr>
          <w:rFonts w:ascii="仿宋" w:hAnsi="仿宋" w:cs="宋体"/>
          <w:kern w:val="0"/>
        </w:rPr>
        <w:t>（三）与期货公司有关人员、为期货公司提供审计、法律等中介服务的机构的有关人员进行谈话；</w:t>
      </w:r>
    </w:p>
    <w:p>
      <w:pPr>
        <w:widowControl/>
        <w:shd w:val="clear" w:color="auto" w:fill="FFFFFF"/>
        <w:spacing w:line="360" w:lineRule="auto"/>
        <w:ind w:firstLine="480" w:firstLineChars="200"/>
        <w:jc w:val="left"/>
        <w:rPr>
          <w:rFonts w:ascii="仿宋" w:hAnsi="仿宋" w:cs="宋体"/>
          <w:kern w:val="0"/>
        </w:rPr>
      </w:pPr>
      <w:r>
        <w:rPr>
          <w:rFonts w:ascii="仿宋" w:hAnsi="仿宋" w:cs="宋体"/>
          <w:kern w:val="0"/>
        </w:rPr>
        <w:t>（四）了解期货公司业务执行情况；</w:t>
      </w:r>
    </w:p>
    <w:p>
      <w:pPr>
        <w:spacing w:line="360" w:lineRule="auto"/>
        <w:ind w:firstLine="480" w:firstLineChars="200"/>
        <w:rPr>
          <w:rFonts w:ascii="仿宋" w:hAnsi="仿宋"/>
        </w:rPr>
      </w:pPr>
      <w:r>
        <w:rPr>
          <w:rFonts w:ascii="仿宋" w:hAnsi="仿宋" w:cs="宋体"/>
          <w:kern w:val="0"/>
        </w:rPr>
        <w:t>（五）公司章程规定的其他职权。</w:t>
      </w:r>
    </w:p>
    <w:p>
      <w:pPr>
        <w:pStyle w:val="5"/>
      </w:pPr>
      <w:r>
        <w:rPr>
          <w:rFonts w:hint="eastAsia"/>
        </w:rPr>
        <w:t>9、首席风险官不履行职责或有违法违规行为的责任承担</w:t>
      </w:r>
    </w:p>
    <w:p>
      <w:pPr>
        <w:widowControl/>
        <w:spacing w:line="360" w:lineRule="auto"/>
        <w:ind w:firstLine="480" w:firstLineChars="200"/>
        <w:jc w:val="left"/>
        <w:rPr>
          <w:rFonts w:ascii="仿宋" w:hAnsi="仿宋" w:cs="宋体"/>
          <w:kern w:val="0"/>
        </w:rPr>
      </w:pPr>
      <w:r>
        <w:rPr>
          <w:rFonts w:hint="eastAsia" w:ascii="仿宋" w:hAnsi="仿宋" w:cs="宋体"/>
          <w:kern w:val="0"/>
        </w:rPr>
        <w:t>中国证监会及其派出机构可以采取监管谈话、出具警示函、责令更换等监管措施；情节严重的，认定其为不适当人选。</w:t>
      </w:r>
    </w:p>
    <w:p>
      <w:pPr>
        <w:widowControl/>
        <w:spacing w:line="360" w:lineRule="auto"/>
        <w:ind w:firstLine="480" w:firstLineChars="200"/>
        <w:jc w:val="left"/>
        <w:rPr>
          <w:rFonts w:ascii="仿宋" w:hAnsi="仿宋" w:cs="宋体"/>
          <w:kern w:val="0"/>
        </w:rPr>
      </w:pPr>
      <w:r>
        <w:rPr>
          <w:rFonts w:hint="eastAsia" w:ascii="仿宋" w:hAnsi="仿宋" w:cs="宋体"/>
          <w:kern w:val="0"/>
        </w:rPr>
        <w:t>第三十条 期货公司发生严重违规或者出现重大风险，首席风险官未及时履行本规定所要求的报告义务的，应当依法承担相应的法律责任。但首席风险官已按照要求履行报告义务的，中国证监会可以从轻、减轻或者免予行政处罚。</w:t>
      </w:r>
    </w:p>
    <w:p>
      <w:pPr>
        <w:spacing w:line="360" w:lineRule="auto"/>
        <w:ind w:firstLine="480" w:firstLineChars="200"/>
        <w:rPr>
          <w:rFonts w:ascii="仿宋" w:hAnsi="仿宋"/>
        </w:rPr>
      </w:pPr>
      <w:r>
        <w:rPr>
          <w:rFonts w:hint="eastAsia" w:ascii="仿宋" w:hAnsi="仿宋"/>
        </w:rPr>
        <w:t>依据：第二十九条</w:t>
      </w:r>
    </w:p>
    <w:p>
      <w:pPr>
        <w:widowControl/>
        <w:shd w:val="clear" w:color="auto" w:fill="FFFFFF"/>
        <w:spacing w:line="360" w:lineRule="auto"/>
        <w:ind w:firstLine="480" w:firstLineChars="200"/>
        <w:jc w:val="left"/>
        <w:rPr>
          <w:rFonts w:ascii="仿宋" w:hAnsi="仿宋" w:cs="宋体"/>
          <w:kern w:val="0"/>
        </w:rPr>
      </w:pPr>
      <w:r>
        <w:rPr>
          <w:rFonts w:ascii="仿宋" w:hAnsi="仿宋" w:cs="宋体"/>
          <w:kern w:val="0"/>
        </w:rPr>
        <w:t>第二十九条 首席风险官不履行职责或者有第十三条所列行为的，中国证监会及其派出机构可以依照《期货公司董事、监事和高级管理人员任职资格管理办法》对首席风险官采取监管谈话、出具警示函、责令更换等监管措施；情节严重的，认定其为不适当人选。</w:t>
      </w:r>
    </w:p>
    <w:p>
      <w:pPr>
        <w:spacing w:line="360" w:lineRule="auto"/>
        <w:ind w:firstLine="480" w:firstLineChars="200"/>
        <w:rPr>
          <w:rFonts w:ascii="仿宋" w:hAnsi="仿宋"/>
        </w:rPr>
      </w:pPr>
      <w:r>
        <w:rPr>
          <w:rFonts w:ascii="仿宋" w:hAnsi="仿宋" w:cs="宋体"/>
          <w:kern w:val="0"/>
        </w:rPr>
        <w:t>自被中国证监会及其派出机构认定为不适当人选之日起2年内，任何期货公司不得任用该人员担任董事、监事和高级管理人员。</w:t>
      </w:r>
    </w:p>
    <w:p>
      <w:pPr>
        <w:pStyle w:val="5"/>
      </w:pPr>
      <w:r>
        <w:rPr>
          <w:rFonts w:hint="eastAsia"/>
        </w:rPr>
        <w:t>10、首席风险官未履行报告义务的责任承担</w:t>
      </w:r>
    </w:p>
    <w:p>
      <w:pPr>
        <w:widowControl/>
        <w:spacing w:line="360" w:lineRule="auto"/>
        <w:ind w:firstLine="480" w:firstLineChars="200"/>
        <w:jc w:val="left"/>
        <w:rPr>
          <w:rFonts w:ascii="仿宋" w:hAnsi="仿宋" w:cs="宋体"/>
          <w:kern w:val="0"/>
        </w:rPr>
      </w:pPr>
      <w:r>
        <w:rPr>
          <w:rFonts w:hint="eastAsia" w:ascii="仿宋" w:hAnsi="仿宋" w:cs="宋体"/>
          <w:kern w:val="0"/>
        </w:rPr>
        <w:t>期货公司发生严重违规或者出现重大风险，首席风险官未及时履行本规定所要求的报告义务的，应当依法承担相应的法律责任。但首席风险官已按照要求履行报告义务的，中国证监会可以从轻、减轻或者免予行政处罚。</w:t>
      </w:r>
    </w:p>
    <w:p>
      <w:pPr>
        <w:spacing w:line="360" w:lineRule="auto"/>
        <w:ind w:firstLine="480" w:firstLineChars="200"/>
        <w:rPr>
          <w:rFonts w:ascii="仿宋" w:hAnsi="仿宋"/>
        </w:rPr>
      </w:pPr>
      <w:r>
        <w:rPr>
          <w:rFonts w:hint="eastAsia" w:ascii="仿宋" w:hAnsi="仿宋"/>
        </w:rPr>
        <w:t>依据：第三十条</w:t>
      </w:r>
    </w:p>
    <w:p>
      <w:pPr>
        <w:spacing w:line="360" w:lineRule="auto"/>
        <w:ind w:firstLine="480" w:firstLineChars="200"/>
        <w:rPr>
          <w:rFonts w:ascii="仿宋" w:hAnsi="仿宋"/>
        </w:rPr>
      </w:pPr>
      <w:r>
        <w:rPr>
          <w:rFonts w:ascii="仿宋" w:hAnsi="仿宋" w:cs="宋体"/>
          <w:kern w:val="0"/>
        </w:rPr>
        <w:t>第三十条 期货公司发生严重违规或者出现重大风险，首席风险官未及时履行本规定所要求的报告义务的，应当依法承担相应的法律责任。但首席风险官已按照要求履行报告义务的，中国证监会可以从轻、减轻或者免予行政处罚。</w:t>
      </w:r>
    </w:p>
    <w:p>
      <w:pPr>
        <w:pStyle w:val="4"/>
        <w:rPr>
          <w:rFonts w:ascii="仿宋" w:hAnsi="仿宋"/>
          <w:szCs w:val="24"/>
        </w:rPr>
      </w:pPr>
      <w:bookmarkStart w:id="139" w:name="_Toc404963367"/>
      <w:bookmarkStart w:id="140" w:name="_Toc445043903"/>
      <w:bookmarkStart w:id="141" w:name="_Toc3896729"/>
      <w:r>
        <w:rPr>
          <w:rFonts w:hint="eastAsia" w:ascii="仿宋" w:hAnsi="仿宋"/>
          <w:szCs w:val="24"/>
        </w:rPr>
        <w:t>（六）《期货公司金融期货结算业务试行办法》</w:t>
      </w:r>
      <w:bookmarkEnd w:id="139"/>
      <w:bookmarkEnd w:id="140"/>
      <w:bookmarkEnd w:id="141"/>
    </w:p>
    <w:p>
      <w:pPr>
        <w:pStyle w:val="5"/>
      </w:pPr>
      <w:r>
        <w:rPr>
          <w:rFonts w:hint="eastAsia"/>
        </w:rPr>
        <w:t>1、交易结算会员的结算权限</w:t>
      </w:r>
    </w:p>
    <w:p>
      <w:pPr>
        <w:spacing w:line="360" w:lineRule="auto"/>
        <w:ind w:firstLine="480" w:firstLineChars="200"/>
        <w:rPr>
          <w:rFonts w:ascii="仿宋" w:hAnsi="仿宋"/>
        </w:rPr>
      </w:pPr>
      <w:r>
        <w:rPr>
          <w:rFonts w:hint="eastAsia" w:ascii="仿宋" w:hAnsi="仿宋"/>
        </w:rPr>
        <w:t>可以为客户办理金融期货结算业务，不得为非结算会员办理金融期货结算业务</w:t>
      </w:r>
    </w:p>
    <w:p>
      <w:pPr>
        <w:spacing w:line="360" w:lineRule="auto"/>
        <w:ind w:firstLine="480" w:firstLineChars="200"/>
        <w:rPr>
          <w:rFonts w:ascii="仿宋" w:hAnsi="仿宋"/>
        </w:rPr>
      </w:pPr>
      <w:r>
        <w:rPr>
          <w:rFonts w:hint="eastAsia" w:ascii="仿宋" w:hAnsi="仿宋"/>
        </w:rPr>
        <w:t>依据：第十五条</w:t>
      </w:r>
    </w:p>
    <w:p>
      <w:pPr>
        <w:spacing w:line="360" w:lineRule="auto"/>
        <w:ind w:firstLine="480" w:firstLineChars="200"/>
        <w:rPr>
          <w:rFonts w:ascii="仿宋" w:hAnsi="仿宋"/>
        </w:rPr>
      </w:pPr>
      <w:r>
        <w:rPr>
          <w:rFonts w:hint="eastAsia" w:ascii="仿宋" w:hAnsi="仿宋"/>
        </w:rPr>
        <w:t>第十五条</w:t>
      </w:r>
      <w:r>
        <w:rPr>
          <w:rFonts w:hint="eastAsia" w:ascii="宋体" w:hAnsi="宋体" w:eastAsia="宋体" w:cs="宋体"/>
        </w:rPr>
        <w:t xml:space="preserve"> </w:t>
      </w:r>
      <w:r>
        <w:rPr>
          <w:rFonts w:hint="eastAsia" w:ascii="仿宋" w:hAnsi="仿宋"/>
        </w:rPr>
        <w:t>取得期货交易所交易结算会员资格的期货公司（以下简称交易结算会员期货公司）可以受托为客户办理金融期货结算业务，不得接受非结算会员的委托为其办理金融期货结算业务。</w:t>
      </w:r>
    </w:p>
    <w:p>
      <w:pPr>
        <w:pStyle w:val="5"/>
        <w:rPr>
          <w:b/>
        </w:rPr>
      </w:pPr>
      <w:r>
        <w:rPr>
          <w:rFonts w:hint="eastAsia"/>
        </w:rPr>
        <w:t>2、全面结算会员的结算权限</w:t>
      </w:r>
    </w:p>
    <w:p>
      <w:pPr>
        <w:spacing w:line="360" w:lineRule="auto"/>
        <w:ind w:firstLine="480" w:firstLineChars="200"/>
        <w:rPr>
          <w:rFonts w:ascii="仿宋" w:hAnsi="仿宋"/>
        </w:rPr>
      </w:pPr>
      <w:r>
        <w:rPr>
          <w:rFonts w:hint="eastAsia" w:ascii="仿宋" w:hAnsi="仿宋"/>
        </w:rPr>
        <w:t>可以为其客户办理金融期货结算业务，可以为非结算会员办理金融期货结算业务</w:t>
      </w:r>
    </w:p>
    <w:p>
      <w:pPr>
        <w:spacing w:line="360" w:lineRule="auto"/>
        <w:ind w:firstLine="480" w:firstLineChars="200"/>
        <w:rPr>
          <w:rFonts w:ascii="仿宋" w:hAnsi="仿宋"/>
        </w:rPr>
      </w:pPr>
      <w:r>
        <w:rPr>
          <w:rFonts w:hint="eastAsia" w:ascii="仿宋" w:hAnsi="仿宋"/>
        </w:rPr>
        <w:t>依据：第十六条</w:t>
      </w:r>
    </w:p>
    <w:p>
      <w:pPr>
        <w:spacing w:line="360" w:lineRule="auto"/>
        <w:ind w:firstLine="480" w:firstLineChars="200"/>
        <w:rPr>
          <w:rFonts w:ascii="仿宋" w:hAnsi="仿宋"/>
        </w:rPr>
      </w:pPr>
      <w:r>
        <w:rPr>
          <w:rFonts w:hint="eastAsia" w:ascii="仿宋" w:hAnsi="仿宋"/>
        </w:rPr>
        <w:t>第十六条</w:t>
      </w:r>
      <w:r>
        <w:rPr>
          <w:rFonts w:hint="eastAsia" w:ascii="宋体" w:hAnsi="宋体" w:eastAsia="宋体" w:cs="宋体"/>
        </w:rPr>
        <w:t xml:space="preserve"> </w:t>
      </w:r>
      <w:r>
        <w:rPr>
          <w:rFonts w:hint="eastAsia" w:ascii="仿宋" w:hAnsi="仿宋"/>
        </w:rPr>
        <w:t>取得期货交易所全面结算会员资格的期货公司（以下简称全面结算会员期货公司），可以受托为其客户以及非结算会员办理金融期货结算业务。</w:t>
      </w:r>
    </w:p>
    <w:p>
      <w:pPr>
        <w:pStyle w:val="5"/>
      </w:pPr>
      <w:r>
        <w:rPr>
          <w:rFonts w:hint="eastAsia"/>
        </w:rPr>
        <w:t>3、非结算会员的交易指令的下达方式</w:t>
      </w:r>
    </w:p>
    <w:p>
      <w:pPr>
        <w:spacing w:line="360" w:lineRule="auto"/>
        <w:ind w:firstLine="480" w:firstLineChars="200"/>
        <w:rPr>
          <w:rFonts w:ascii="仿宋" w:hAnsi="仿宋"/>
        </w:rPr>
      </w:pPr>
      <w:r>
        <w:rPr>
          <w:rFonts w:hint="eastAsia" w:ascii="仿宋" w:hAnsi="仿宋" w:cs="宋体"/>
          <w:kern w:val="0"/>
        </w:rPr>
        <w:t>非结算会员下达的交易指令应当经全面结算会员期货公司审查或者验证后进入期货交易所。</w:t>
      </w:r>
    </w:p>
    <w:p>
      <w:pPr>
        <w:spacing w:line="360" w:lineRule="auto"/>
        <w:ind w:firstLine="480" w:firstLineChars="200"/>
        <w:rPr>
          <w:rFonts w:ascii="仿宋" w:hAnsi="仿宋"/>
        </w:rPr>
      </w:pPr>
      <w:r>
        <w:rPr>
          <w:rFonts w:hint="eastAsia" w:ascii="仿宋" w:hAnsi="仿宋"/>
        </w:rPr>
        <w:t>依据：第十九条</w:t>
      </w:r>
    </w:p>
    <w:p>
      <w:pPr>
        <w:spacing w:line="360" w:lineRule="auto"/>
        <w:ind w:firstLine="480" w:firstLineChars="200"/>
        <w:rPr>
          <w:rFonts w:ascii="仿宋" w:hAnsi="仿宋"/>
        </w:rPr>
      </w:pPr>
      <w:r>
        <w:rPr>
          <w:rFonts w:hint="eastAsia" w:ascii="仿宋" w:hAnsi="仿宋"/>
        </w:rPr>
        <w:t>第十九条 非结算会员下达的交易指令应当经全面结算会员期货公司审查或者验证后进入期货交易所。全面结算会员期货公司可以按照结算协议的约定对非结算会员的指令采取必要的限制措施。</w:t>
      </w:r>
    </w:p>
    <w:p>
      <w:pPr>
        <w:pStyle w:val="5"/>
      </w:pPr>
      <w:r>
        <w:rPr>
          <w:rFonts w:hint="eastAsia"/>
        </w:rPr>
        <w:t>4、非结算会员对委托回报和成交结果异议时的处理</w:t>
      </w:r>
    </w:p>
    <w:p>
      <w:pPr>
        <w:spacing w:line="360" w:lineRule="auto"/>
        <w:ind w:firstLine="480" w:firstLineChars="200"/>
        <w:rPr>
          <w:rFonts w:ascii="仿宋" w:hAnsi="仿宋" w:cs="宋体"/>
          <w:kern w:val="0"/>
        </w:rPr>
      </w:pPr>
      <w:r>
        <w:rPr>
          <w:rFonts w:hint="eastAsia" w:ascii="仿宋" w:hAnsi="仿宋" w:cs="宋体"/>
          <w:kern w:val="0"/>
        </w:rPr>
        <w:t>非结算会员对委托回报和成交结果有异议的，应当及时向全面结算会员期货公司和期货交易所提出。</w:t>
      </w:r>
    </w:p>
    <w:p>
      <w:pPr>
        <w:spacing w:line="360" w:lineRule="auto"/>
        <w:ind w:firstLine="480" w:firstLineChars="200"/>
        <w:rPr>
          <w:rFonts w:ascii="仿宋" w:hAnsi="仿宋"/>
        </w:rPr>
      </w:pPr>
      <w:r>
        <w:rPr>
          <w:rFonts w:hint="eastAsia" w:ascii="仿宋" w:hAnsi="仿宋"/>
        </w:rPr>
        <w:t>依据：</w:t>
      </w:r>
      <w:r>
        <w:rPr>
          <w:rFonts w:hint="eastAsia" w:ascii="仿宋" w:hAnsi="仿宋" w:cs="宋体"/>
          <w:kern w:val="0"/>
        </w:rPr>
        <w:t>第二十条</w:t>
      </w:r>
      <w:r>
        <w:rPr>
          <w:rFonts w:hint="eastAsia" w:ascii="宋体" w:hAnsi="宋体" w:eastAsia="宋体" w:cs="宋体"/>
          <w:kern w:val="0"/>
        </w:rPr>
        <w:t> </w:t>
      </w:r>
    </w:p>
    <w:p>
      <w:pPr>
        <w:spacing w:line="360" w:lineRule="auto"/>
        <w:ind w:firstLine="480" w:firstLineChars="200"/>
        <w:rPr>
          <w:rFonts w:ascii="仿宋" w:hAnsi="仿宋" w:cs="宋体"/>
          <w:kern w:val="0"/>
        </w:rPr>
      </w:pPr>
      <w:r>
        <w:rPr>
          <w:rFonts w:hint="eastAsia" w:ascii="仿宋" w:hAnsi="仿宋"/>
        </w:rPr>
        <w:t>第二十条 非结算会员下达的交易指令进入期货交易所后，期货交易所应当及时将委托回报和成交结果反馈给全面结算会员期货公司和非结算会员。</w:t>
      </w:r>
      <w:r>
        <w:rPr>
          <w:rFonts w:hint="eastAsia" w:ascii="仿宋" w:hAnsi="仿宋"/>
        </w:rPr>
        <w:br w:type="textWrapping"/>
      </w:r>
      <w:r>
        <w:rPr>
          <w:rFonts w:hint="eastAsia" w:ascii="仿宋" w:hAnsi="仿宋"/>
        </w:rPr>
        <w:t>　　非结算会员对委托回报和成交结果有异议的，应当及时向全面结算会员期货公司和期货交易所提出。</w:t>
      </w:r>
      <w:r>
        <w:rPr>
          <w:rFonts w:hint="eastAsia" w:ascii="仿宋" w:hAnsi="仿宋" w:cs="宋体"/>
          <w:kern w:val="0"/>
        </w:rPr>
        <w:t>　</w:t>
      </w:r>
    </w:p>
    <w:p>
      <w:pPr>
        <w:pStyle w:val="5"/>
      </w:pPr>
      <w:r>
        <w:rPr>
          <w:rFonts w:hint="eastAsia"/>
        </w:rPr>
        <w:t>5、非结算会员的结算准备金余额低于规定或者约定最低余额时的处理</w:t>
      </w:r>
    </w:p>
    <w:p>
      <w:pPr>
        <w:spacing w:line="360" w:lineRule="auto"/>
        <w:ind w:firstLine="480" w:firstLineChars="200"/>
        <w:rPr>
          <w:rFonts w:ascii="仿宋" w:hAnsi="仿宋" w:cs="宋体"/>
          <w:kern w:val="0"/>
        </w:rPr>
      </w:pPr>
      <w:r>
        <w:rPr>
          <w:rFonts w:hint="eastAsia" w:ascii="仿宋" w:hAnsi="仿宋" w:cs="宋体"/>
          <w:kern w:val="0"/>
        </w:rPr>
        <w:t>非结算会员的结算准备金余额低于规定或者约定最低余额的，应当及时追加保证金或者自行平仓。非结算会员未在结算协议约定的时间内追加保证金或者自行平仓的，全面结算会员期货公司有权对该非结算会员的持仓强行平仓。</w:t>
      </w:r>
    </w:p>
    <w:p>
      <w:pPr>
        <w:spacing w:line="360" w:lineRule="auto"/>
        <w:ind w:firstLine="480" w:firstLineChars="200"/>
        <w:rPr>
          <w:rFonts w:ascii="仿宋" w:hAnsi="仿宋"/>
        </w:rPr>
      </w:pPr>
      <w:r>
        <w:rPr>
          <w:rFonts w:hint="eastAsia" w:ascii="仿宋" w:hAnsi="仿宋"/>
        </w:rPr>
        <w:t>依据：第三十四条</w:t>
      </w:r>
    </w:p>
    <w:p>
      <w:pPr>
        <w:spacing w:line="360" w:lineRule="auto"/>
        <w:ind w:firstLine="480" w:firstLineChars="200"/>
        <w:rPr>
          <w:rFonts w:ascii="仿宋" w:hAnsi="仿宋"/>
        </w:rPr>
      </w:pPr>
      <w:r>
        <w:rPr>
          <w:rFonts w:hint="eastAsia" w:ascii="仿宋" w:hAnsi="仿宋"/>
        </w:rPr>
        <w:t>第三十四条</w:t>
      </w:r>
      <w:r>
        <w:rPr>
          <w:rFonts w:hint="eastAsia" w:ascii="宋体" w:hAnsi="宋体" w:eastAsia="宋体" w:cs="宋体"/>
        </w:rPr>
        <w:t xml:space="preserve"> </w:t>
      </w:r>
      <w:r>
        <w:rPr>
          <w:rFonts w:hint="eastAsia" w:ascii="仿宋" w:hAnsi="仿宋"/>
        </w:rPr>
        <w:t>非结算会员的结算准备金余额低于规定或者约定最低余额的，应当及时追加保证金或者自行平仓。非结算会员未在结算协议约定的时间内追加保证金或者自行平仓的，全面结算会员期货公司有权对该非结算会员的持仓强行平仓。</w:t>
      </w:r>
    </w:p>
    <w:p>
      <w:pPr>
        <w:pStyle w:val="5"/>
      </w:pPr>
      <w:r>
        <w:rPr>
          <w:rFonts w:hint="eastAsia"/>
        </w:rPr>
        <w:t>6、非结算会员的结算准备金余额小于零并未能在约定时间内补足的，应如何处理</w:t>
      </w:r>
    </w:p>
    <w:p>
      <w:pPr>
        <w:spacing w:line="360" w:lineRule="auto"/>
        <w:ind w:firstLine="480" w:firstLineChars="200"/>
        <w:rPr>
          <w:rFonts w:ascii="仿宋" w:hAnsi="仿宋" w:cs="宋体"/>
          <w:kern w:val="0"/>
        </w:rPr>
      </w:pPr>
      <w:r>
        <w:rPr>
          <w:rFonts w:hint="eastAsia" w:ascii="仿宋" w:hAnsi="仿宋" w:cs="宋体"/>
          <w:kern w:val="0"/>
        </w:rPr>
        <w:t>非结算会员的结算准备金余额小于零并未能在约定时间内补足的，全面结算会员期货公司应当按照约定的原则和措施对非结算会员或者其客户的持仓强行平仓。</w:t>
      </w:r>
    </w:p>
    <w:p>
      <w:pPr>
        <w:spacing w:line="360" w:lineRule="auto"/>
        <w:ind w:firstLine="480" w:firstLineChars="200"/>
        <w:rPr>
          <w:rFonts w:ascii="仿宋" w:hAnsi="仿宋"/>
        </w:rPr>
      </w:pPr>
      <w:r>
        <w:rPr>
          <w:rFonts w:hint="eastAsia" w:ascii="仿宋" w:hAnsi="仿宋"/>
        </w:rPr>
        <w:t>依据：第三十五条</w:t>
      </w:r>
    </w:p>
    <w:p>
      <w:pPr>
        <w:spacing w:line="360" w:lineRule="auto"/>
        <w:ind w:firstLine="480" w:firstLineChars="200"/>
        <w:rPr>
          <w:rFonts w:ascii="仿宋" w:hAnsi="仿宋" w:cs="宋体"/>
          <w:kern w:val="0"/>
        </w:rPr>
      </w:pPr>
      <w:r>
        <w:rPr>
          <w:rFonts w:hint="eastAsia" w:ascii="仿宋" w:hAnsi="仿宋"/>
        </w:rPr>
        <w:t>第三十五条</w:t>
      </w:r>
      <w:r>
        <w:rPr>
          <w:rFonts w:hint="eastAsia" w:ascii="宋体" w:hAnsi="宋体" w:eastAsia="宋体" w:cs="宋体"/>
        </w:rPr>
        <w:t xml:space="preserve"> </w:t>
      </w:r>
      <w:r>
        <w:rPr>
          <w:rFonts w:hint="eastAsia" w:ascii="仿宋" w:hAnsi="仿宋"/>
        </w:rPr>
        <w:t>非结算会员的结算准备金余额小于零并未能在约定时间内补足的，全面结算会员期货公司应当按照约定的原则和措施对非结算会员或者其客户的持仓强行平仓。</w:t>
      </w:r>
      <w:r>
        <w:rPr>
          <w:rFonts w:hint="eastAsia" w:ascii="仿宋" w:hAnsi="仿宋"/>
        </w:rPr>
        <w:br w:type="textWrapping"/>
      </w:r>
      <w:r>
        <w:rPr>
          <w:rFonts w:hint="eastAsia" w:ascii="仿宋" w:hAnsi="仿宋"/>
        </w:rPr>
        <w:t>　　除前款规定外，全面结算会员期货公司可以与非结算会员在结算协议中约定应予强行平仓的其他情形。</w:t>
      </w:r>
    </w:p>
    <w:p>
      <w:pPr>
        <w:pStyle w:val="5"/>
      </w:pPr>
      <w:r>
        <w:rPr>
          <w:rFonts w:hint="eastAsia"/>
        </w:rPr>
        <w:t>7、非结算会员在期货交易中违约责任承担的顺序</w:t>
      </w:r>
    </w:p>
    <w:p>
      <w:pPr>
        <w:spacing w:line="360" w:lineRule="auto"/>
        <w:ind w:firstLine="480" w:firstLineChars="200"/>
        <w:rPr>
          <w:rFonts w:ascii="仿宋" w:hAnsi="仿宋" w:cs="宋体"/>
          <w:kern w:val="0"/>
        </w:rPr>
      </w:pPr>
      <w:r>
        <w:rPr>
          <w:rFonts w:hint="eastAsia" w:ascii="仿宋" w:hAnsi="仿宋" w:cs="宋体"/>
          <w:kern w:val="0"/>
        </w:rPr>
        <w:t>全面结算会员期货公司先以该非结算会员的保证金承担该非结算会员的违约责任；保证金不足的，全面结算会员期货公司应当以风险准备金和自有资金代为承担违约责任，并由此取得对该非结算会员的相应追偿权。</w:t>
      </w:r>
    </w:p>
    <w:p>
      <w:pPr>
        <w:spacing w:line="360" w:lineRule="auto"/>
        <w:ind w:firstLine="480" w:firstLineChars="200"/>
        <w:rPr>
          <w:rFonts w:ascii="仿宋" w:hAnsi="仿宋"/>
        </w:rPr>
      </w:pPr>
      <w:r>
        <w:rPr>
          <w:rFonts w:hint="eastAsia" w:ascii="仿宋" w:hAnsi="仿宋"/>
        </w:rPr>
        <w:t>依据：第三十七条</w:t>
      </w:r>
    </w:p>
    <w:p>
      <w:pPr>
        <w:spacing w:line="360" w:lineRule="auto"/>
        <w:ind w:firstLine="480" w:firstLineChars="200"/>
        <w:rPr>
          <w:rFonts w:ascii="仿宋" w:hAnsi="仿宋"/>
        </w:rPr>
      </w:pPr>
      <w:r>
        <w:rPr>
          <w:rFonts w:hint="eastAsia" w:ascii="仿宋" w:hAnsi="仿宋"/>
        </w:rPr>
        <w:t>第三十七条</w:t>
      </w:r>
      <w:r>
        <w:rPr>
          <w:rFonts w:hint="eastAsia" w:ascii="宋体" w:hAnsi="宋体" w:eastAsia="宋体" w:cs="宋体"/>
        </w:rPr>
        <w:t xml:space="preserve"> </w:t>
      </w:r>
      <w:r>
        <w:rPr>
          <w:rFonts w:hint="eastAsia" w:ascii="仿宋" w:hAnsi="仿宋"/>
        </w:rPr>
        <w:t>非结算会员在期货交易中违约的，应当承担违约责任。</w:t>
      </w:r>
      <w:r>
        <w:rPr>
          <w:rFonts w:hint="eastAsia" w:ascii="仿宋" w:hAnsi="仿宋"/>
        </w:rPr>
        <w:br w:type="textWrapping"/>
      </w:r>
      <w:r>
        <w:rPr>
          <w:rFonts w:hint="eastAsia" w:ascii="仿宋" w:hAnsi="仿宋"/>
        </w:rPr>
        <w:t>　　全面结算会员期货公司先以该非结算会员的保证金承担该非结算会员的违约责任；保证金不足的，全面结算会员期货公司应当以风险准备金和自有资金代为承担违约责任，并由此取得对该非结算会员的相应追偿权。</w:t>
      </w:r>
    </w:p>
    <w:p>
      <w:pPr>
        <w:pStyle w:val="4"/>
        <w:rPr>
          <w:rFonts w:ascii="仿宋" w:hAnsi="仿宋"/>
          <w:szCs w:val="24"/>
        </w:rPr>
      </w:pPr>
      <w:bookmarkStart w:id="142" w:name="_Toc445043904"/>
      <w:bookmarkStart w:id="143" w:name="_Toc3896730"/>
      <w:bookmarkStart w:id="144" w:name="_Toc404963368"/>
      <w:r>
        <w:rPr>
          <w:rFonts w:hint="eastAsia" w:ascii="仿宋" w:hAnsi="仿宋"/>
          <w:szCs w:val="24"/>
        </w:rPr>
        <w:t>（七）《期货公司风险监管指标管理办法》</w:t>
      </w:r>
      <w:bookmarkEnd w:id="142"/>
      <w:bookmarkEnd w:id="143"/>
      <w:bookmarkEnd w:id="144"/>
    </w:p>
    <w:p>
      <w:pPr>
        <w:pStyle w:val="5"/>
      </w:pPr>
      <w:bookmarkStart w:id="145" w:name="_Toc445043905"/>
      <w:bookmarkStart w:id="146" w:name="_Toc404963369"/>
      <w:r>
        <w:rPr>
          <w:rFonts w:hint="eastAsia"/>
        </w:rPr>
        <w:t>1、确保净资本等风险监管指标持续符合标准应当建立的制度</w:t>
      </w:r>
    </w:p>
    <w:p>
      <w:pPr>
        <w:spacing w:line="360" w:lineRule="auto"/>
        <w:ind w:firstLine="480" w:firstLineChars="200"/>
        <w:rPr>
          <w:rFonts w:ascii="仿宋" w:hAnsi="仿宋"/>
        </w:rPr>
      </w:pPr>
      <w:r>
        <w:rPr>
          <w:rFonts w:hint="eastAsia" w:ascii="仿宋" w:hAnsi="仿宋"/>
        </w:rPr>
        <w:t>（</w:t>
      </w:r>
      <w:r>
        <w:rPr>
          <w:rFonts w:ascii="仿宋" w:hAnsi="仿宋"/>
        </w:rPr>
        <w:t>1</w:t>
      </w:r>
      <w:r>
        <w:rPr>
          <w:rFonts w:hint="eastAsia" w:ascii="仿宋" w:hAnsi="仿宋"/>
        </w:rPr>
        <w:t>）应当建立与风险监管指标相适应的内部控制制度及风险管理制度。</w:t>
      </w:r>
    </w:p>
    <w:p>
      <w:pPr>
        <w:spacing w:line="360" w:lineRule="auto"/>
        <w:ind w:firstLine="480" w:firstLineChars="200"/>
        <w:rPr>
          <w:rFonts w:ascii="仿宋" w:hAnsi="仿宋"/>
        </w:rPr>
      </w:pPr>
      <w:r>
        <w:rPr>
          <w:rFonts w:hint="eastAsia" w:ascii="仿宋" w:hAnsi="仿宋"/>
        </w:rPr>
        <w:t>（</w:t>
      </w:r>
      <w:r>
        <w:rPr>
          <w:rFonts w:ascii="仿宋" w:hAnsi="仿宋"/>
        </w:rPr>
        <w:t>2</w:t>
      </w:r>
      <w:r>
        <w:rPr>
          <w:rFonts w:hint="eastAsia" w:ascii="仿宋" w:hAnsi="仿宋"/>
        </w:rPr>
        <w:t>）应当建立动态的风险监控和资本补充机制。</w:t>
      </w:r>
    </w:p>
    <w:p>
      <w:pPr>
        <w:spacing w:line="360" w:lineRule="auto"/>
        <w:ind w:firstLine="480" w:firstLineChars="200"/>
        <w:rPr>
          <w:rFonts w:ascii="仿宋" w:hAnsi="仿宋"/>
        </w:rPr>
      </w:pPr>
      <w:r>
        <w:rPr>
          <w:rFonts w:hint="eastAsia" w:ascii="仿宋" w:hAnsi="仿宋"/>
        </w:rPr>
        <w:t>依据：第四条</w:t>
      </w:r>
      <w:r>
        <w:rPr>
          <w:rFonts w:ascii="仿宋" w:hAnsi="仿宋"/>
        </w:rPr>
        <w:t xml:space="preserve"> </w:t>
      </w:r>
    </w:p>
    <w:p>
      <w:pPr>
        <w:spacing w:line="360" w:lineRule="auto"/>
        <w:ind w:firstLine="480" w:firstLineChars="200"/>
        <w:rPr>
          <w:rFonts w:cs="宋体"/>
        </w:rPr>
      </w:pPr>
      <w:r>
        <w:rPr>
          <w:rFonts w:hint="eastAsia" w:ascii="仿宋" w:hAnsi="仿宋"/>
        </w:rPr>
        <w:t>第四条 期货公司应当建立与风险监管指标相适应的内部控制制度及风险管理制度，建立动态的风险监控和资本补充机制， 确保净资本等风险监管指标持续符合标准。</w:t>
      </w:r>
    </w:p>
    <w:p>
      <w:pPr>
        <w:pStyle w:val="5"/>
      </w:pPr>
      <w:r>
        <w:rPr>
          <w:rFonts w:hint="eastAsia"/>
        </w:rPr>
        <w:t>2、期货公司可以被认定其风险监管指标不符合规定标准的情形</w:t>
      </w:r>
    </w:p>
    <w:p>
      <w:pPr>
        <w:spacing w:line="360" w:lineRule="auto"/>
        <w:ind w:firstLine="480" w:firstLineChars="200"/>
        <w:rPr>
          <w:rFonts w:ascii="仿宋" w:hAnsi="仿宋"/>
        </w:rPr>
      </w:pPr>
      <w:r>
        <w:rPr>
          <w:rFonts w:hint="eastAsia" w:ascii="仿宋" w:hAnsi="仿宋"/>
        </w:rPr>
        <w:t>依据：</w:t>
      </w:r>
      <w:bookmarkStart w:id="147" w:name="_Hlk3641400"/>
      <w:r>
        <w:rPr>
          <w:rFonts w:hint="eastAsia" w:ascii="仿宋" w:hAnsi="仿宋"/>
        </w:rPr>
        <w:t>第二十四条</w:t>
      </w:r>
      <w:bookmarkEnd w:id="147"/>
      <w:r>
        <w:rPr>
          <w:rFonts w:hint="eastAsia" w:ascii="仿宋" w:hAnsi="仿宋"/>
        </w:rPr>
        <w:t xml:space="preserve"> </w:t>
      </w:r>
    </w:p>
    <w:p>
      <w:pPr>
        <w:spacing w:line="360" w:lineRule="auto"/>
        <w:ind w:firstLine="480" w:firstLineChars="200"/>
        <w:rPr>
          <w:rFonts w:ascii="仿宋" w:hAnsi="仿宋"/>
        </w:rPr>
      </w:pPr>
      <w:r>
        <w:rPr>
          <w:rFonts w:hint="eastAsia" w:ascii="仿宋" w:hAnsi="仿宋"/>
        </w:rPr>
        <w:t xml:space="preserve">第二十四条 </w:t>
      </w:r>
      <w:bookmarkStart w:id="148" w:name="_Hlk3642422"/>
      <w:r>
        <w:rPr>
          <w:rFonts w:hint="eastAsia" w:ascii="仿宋" w:hAnsi="仿宋"/>
        </w:rPr>
        <w:t>期货公司的风险监管报表被相关会计师事务所出具了保留意见、带强调事项段或其他事项段无保留意见的</w:t>
      </w:r>
      <w:bookmarkEnd w:id="148"/>
      <w:r>
        <w:rPr>
          <w:rFonts w:hint="eastAsia" w:ascii="仿宋" w:hAnsi="仿宋"/>
        </w:rPr>
        <w:t xml:space="preserve">，期货公司应当自审计意见出具的 5 个工作日内就涉及事项对风险监管指标的影响进行专项说明，并向住所地中国证监会派出机构进行书面报告。中国证监会派出机构可以视情况要求期货公司限期改正并重新编制风险监管报表；期货公司未限期改正的，中国证监会派出机构可以认定其风险监管指标不符合规定标准。 </w:t>
      </w:r>
    </w:p>
    <w:p>
      <w:pPr>
        <w:spacing w:line="360" w:lineRule="auto"/>
        <w:ind w:firstLine="480" w:firstLineChars="200"/>
        <w:rPr>
          <w:rFonts w:ascii="仿宋" w:hAnsi="仿宋"/>
        </w:rPr>
      </w:pPr>
      <w:bookmarkStart w:id="149" w:name="_Hlk3642371"/>
      <w:r>
        <w:rPr>
          <w:rFonts w:hint="eastAsia" w:ascii="仿宋" w:hAnsi="仿宋"/>
        </w:rPr>
        <w:t>期货公司的风险监管报表被相关会计师事务所出具了无法表示意见或者否定意见的</w:t>
      </w:r>
      <w:bookmarkEnd w:id="149"/>
      <w:r>
        <w:rPr>
          <w:rFonts w:hint="eastAsia" w:ascii="仿宋" w:hAnsi="仿宋"/>
        </w:rPr>
        <w:t>，中国证监会派出机构可以认定其</w:t>
      </w:r>
      <w:bookmarkStart w:id="150" w:name="_Hlk3641262"/>
      <w:r>
        <w:rPr>
          <w:rFonts w:hint="eastAsia" w:ascii="仿宋" w:hAnsi="仿宋"/>
        </w:rPr>
        <w:t xml:space="preserve">风险 监管指标不符合规定标准。 </w:t>
      </w:r>
    </w:p>
    <w:bookmarkEnd w:id="150"/>
    <w:p>
      <w:pPr>
        <w:pStyle w:val="5"/>
      </w:pPr>
      <w:r>
        <w:rPr>
          <w:rFonts w:hint="eastAsia"/>
        </w:rPr>
        <w:t>3、压力测试结果显示潜在风险超过期货公司承受能力的，期货公司应当采取有效措施，将风险控制在可承受范围内</w:t>
      </w:r>
    </w:p>
    <w:p>
      <w:pPr>
        <w:spacing w:line="360" w:lineRule="auto"/>
        <w:ind w:firstLine="480" w:firstLineChars="200"/>
        <w:rPr>
          <w:rFonts w:ascii="仿宋" w:hAnsi="仿宋"/>
        </w:rPr>
      </w:pPr>
      <w:r>
        <w:rPr>
          <w:rFonts w:hint="eastAsia" w:ascii="仿宋" w:hAnsi="仿宋"/>
        </w:rPr>
        <w:t>依据：第五条</w:t>
      </w:r>
      <w:r>
        <w:rPr>
          <w:rFonts w:ascii="仿宋" w:hAnsi="仿宋"/>
        </w:rPr>
        <w:t xml:space="preserve"> </w:t>
      </w:r>
    </w:p>
    <w:p>
      <w:pPr>
        <w:spacing w:line="360" w:lineRule="auto"/>
        <w:ind w:firstLine="480" w:firstLineChars="200"/>
        <w:rPr>
          <w:rFonts w:ascii="仿宋" w:hAnsi="仿宋"/>
        </w:rPr>
      </w:pPr>
      <w:r>
        <w:rPr>
          <w:rFonts w:hint="eastAsia" w:ascii="仿宋" w:hAnsi="仿宋"/>
        </w:rPr>
        <w:t xml:space="preserve">第五条 </w:t>
      </w:r>
      <w:r>
        <w:rPr>
          <w:rFonts w:hint="eastAsia"/>
        </w:rPr>
        <w:t>压力测试结果显示潜在风险超过期货公司承受能力的，期货公司应当采取有效措施，及时补充资本或控制业务规模，将风险控制在可承受范围内。</w:t>
      </w:r>
    </w:p>
    <w:p>
      <w:pPr>
        <w:pStyle w:val="5"/>
      </w:pPr>
      <w:r>
        <w:rPr>
          <w:rFonts w:hint="eastAsia"/>
        </w:rPr>
        <w:t>4、风险指标与预警指标</w:t>
      </w:r>
    </w:p>
    <w:p>
      <w:pPr>
        <w:spacing w:line="360" w:lineRule="auto"/>
        <w:ind w:firstLine="480" w:firstLineChars="200"/>
        <w:rPr>
          <w:rFonts w:ascii="仿宋" w:hAnsi="仿宋"/>
        </w:rPr>
      </w:pPr>
      <w:bookmarkStart w:id="151" w:name="_Hlk3643138"/>
      <w:r>
        <w:rPr>
          <w:rFonts w:hint="eastAsia" w:ascii="仿宋" w:hAnsi="仿宋"/>
        </w:rPr>
        <w:t>净资本与公司的风险资本准备的比例不得低于</w:t>
      </w:r>
      <w:r>
        <w:rPr>
          <w:rFonts w:ascii="仿宋" w:hAnsi="仿宋"/>
        </w:rPr>
        <w:t>100%</w:t>
      </w:r>
      <w:r>
        <w:rPr>
          <w:rFonts w:hint="eastAsia" w:ascii="仿宋" w:hAnsi="仿宋"/>
        </w:rPr>
        <w:t>，其预警标准是规定标准的</w:t>
      </w:r>
      <w:r>
        <w:rPr>
          <w:rFonts w:ascii="仿宋" w:hAnsi="仿宋"/>
        </w:rPr>
        <w:t>120%</w:t>
      </w:r>
      <w:r>
        <w:rPr>
          <w:rFonts w:hint="eastAsia" w:ascii="仿宋" w:hAnsi="仿宋"/>
        </w:rPr>
        <w:t>；</w:t>
      </w:r>
      <w:bookmarkEnd w:id="151"/>
      <w:bookmarkStart w:id="152" w:name="_Hlk3643253"/>
      <w:r>
        <w:rPr>
          <w:rFonts w:hint="eastAsia" w:ascii="仿宋" w:hAnsi="仿宋"/>
        </w:rPr>
        <w:t>净资本与净资产的比例不得低于2</w:t>
      </w:r>
      <w:r>
        <w:rPr>
          <w:rFonts w:ascii="仿宋" w:hAnsi="仿宋"/>
        </w:rPr>
        <w:t>0%</w:t>
      </w:r>
      <w:r>
        <w:rPr>
          <w:rFonts w:hint="eastAsia" w:ascii="仿宋" w:hAnsi="仿宋"/>
        </w:rPr>
        <w:t>，其预警标准是规定标准的</w:t>
      </w:r>
      <w:r>
        <w:rPr>
          <w:rFonts w:ascii="仿宋" w:hAnsi="仿宋"/>
        </w:rPr>
        <w:t>120%</w:t>
      </w:r>
      <w:r>
        <w:rPr>
          <w:rFonts w:hint="eastAsia" w:ascii="仿宋" w:hAnsi="仿宋"/>
        </w:rPr>
        <w:t>；</w:t>
      </w:r>
      <w:bookmarkEnd w:id="152"/>
      <w:bookmarkStart w:id="153" w:name="_Hlk3643186"/>
      <w:r>
        <w:rPr>
          <w:rFonts w:hint="eastAsia" w:ascii="仿宋" w:hAnsi="仿宋"/>
        </w:rPr>
        <w:t>流动资产与流动负债的比例不得低于</w:t>
      </w:r>
      <w:r>
        <w:rPr>
          <w:rFonts w:ascii="仿宋" w:hAnsi="仿宋"/>
        </w:rPr>
        <w:t>100%</w:t>
      </w:r>
      <w:r>
        <w:rPr>
          <w:rFonts w:hint="eastAsia" w:ascii="仿宋" w:hAnsi="仿宋"/>
        </w:rPr>
        <w:t>，其预警标准是规定标准的</w:t>
      </w:r>
      <w:r>
        <w:rPr>
          <w:rFonts w:ascii="仿宋" w:hAnsi="仿宋"/>
        </w:rPr>
        <w:t>120%</w:t>
      </w:r>
      <w:r>
        <w:rPr>
          <w:rFonts w:hint="eastAsia" w:ascii="仿宋" w:hAnsi="仿宋"/>
        </w:rPr>
        <w:t>；</w:t>
      </w:r>
      <w:bookmarkEnd w:id="153"/>
      <w:bookmarkStart w:id="154" w:name="_Hlk3643223"/>
      <w:r>
        <w:rPr>
          <w:rFonts w:hint="eastAsia" w:ascii="仿宋" w:hAnsi="仿宋"/>
        </w:rPr>
        <w:t>负债与净资产的比例不得高于</w:t>
      </w:r>
      <w:r>
        <w:rPr>
          <w:rFonts w:ascii="仿宋" w:hAnsi="仿宋"/>
        </w:rPr>
        <w:t>150%</w:t>
      </w:r>
      <w:r>
        <w:rPr>
          <w:rFonts w:hint="eastAsia" w:ascii="仿宋" w:hAnsi="仿宋"/>
        </w:rPr>
        <w:t>，其预警标准是规定标准的</w:t>
      </w:r>
      <w:r>
        <w:rPr>
          <w:rFonts w:ascii="仿宋" w:hAnsi="仿宋"/>
        </w:rPr>
        <w:t>80%</w:t>
      </w:r>
      <w:r>
        <w:rPr>
          <w:rFonts w:hint="eastAsia" w:ascii="仿宋" w:hAnsi="仿宋"/>
        </w:rPr>
        <w:t>。</w:t>
      </w:r>
    </w:p>
    <w:bookmarkEnd w:id="154"/>
    <w:p>
      <w:pPr>
        <w:tabs>
          <w:tab w:val="left" w:pos="2244"/>
        </w:tabs>
        <w:spacing w:line="360" w:lineRule="auto"/>
        <w:ind w:firstLine="480" w:firstLineChars="200"/>
        <w:rPr>
          <w:rFonts w:ascii="仿宋" w:hAnsi="仿宋"/>
          <w:b/>
        </w:rPr>
      </w:pPr>
      <w:r>
        <w:rPr>
          <w:rFonts w:hint="eastAsia" w:ascii="仿宋" w:hAnsi="仿宋"/>
        </w:rPr>
        <w:t>依据：第八条（一）至（六）项、第九条</w:t>
      </w:r>
    </w:p>
    <w:p>
      <w:pPr>
        <w:spacing w:line="360" w:lineRule="auto"/>
        <w:ind w:firstLine="480" w:firstLineChars="200"/>
        <w:rPr>
          <w:rFonts w:ascii="仿宋" w:hAnsi="仿宋"/>
        </w:rPr>
      </w:pPr>
      <w:r>
        <w:rPr>
          <w:rFonts w:hint="eastAsia" w:ascii="仿宋" w:hAnsi="仿宋"/>
        </w:rPr>
        <w:t>第八条</w:t>
      </w:r>
      <w:r>
        <w:rPr>
          <w:rFonts w:ascii="仿宋" w:hAnsi="仿宋"/>
        </w:rPr>
        <w:t xml:space="preserve"> </w:t>
      </w:r>
      <w:bookmarkStart w:id="155" w:name="_Hlk3643300"/>
      <w:r>
        <w:rPr>
          <w:rFonts w:hint="eastAsia" w:ascii="仿宋" w:hAnsi="仿宋"/>
        </w:rPr>
        <w:t>期货公司应当持续符合以下风险监管指标标准：</w:t>
      </w:r>
    </w:p>
    <w:p>
      <w:pPr>
        <w:spacing w:line="360" w:lineRule="auto"/>
        <w:ind w:firstLine="480" w:firstLineChars="200"/>
        <w:rPr>
          <w:rFonts w:ascii="仿宋" w:hAnsi="仿宋"/>
        </w:rPr>
      </w:pPr>
      <w:r>
        <w:rPr>
          <w:rFonts w:hint="eastAsia" w:ascii="仿宋" w:hAnsi="仿宋"/>
        </w:rPr>
        <w:t xml:space="preserve">（一）净资本不得低于人民币 3000 万元； </w:t>
      </w:r>
    </w:p>
    <w:p>
      <w:pPr>
        <w:spacing w:line="360" w:lineRule="auto"/>
        <w:ind w:firstLine="480" w:firstLineChars="200"/>
        <w:rPr>
          <w:rFonts w:ascii="仿宋" w:hAnsi="仿宋"/>
        </w:rPr>
      </w:pPr>
      <w:r>
        <w:rPr>
          <w:rFonts w:hint="eastAsia" w:ascii="仿宋" w:hAnsi="仿宋"/>
        </w:rPr>
        <w:t xml:space="preserve">（二）净资本与公司风险资本准备的比例不得低于 100%； </w:t>
      </w:r>
    </w:p>
    <w:p>
      <w:pPr>
        <w:spacing w:line="360" w:lineRule="auto"/>
        <w:ind w:firstLine="480" w:firstLineChars="200"/>
        <w:rPr>
          <w:rFonts w:ascii="仿宋" w:hAnsi="仿宋"/>
        </w:rPr>
      </w:pPr>
      <w:r>
        <w:rPr>
          <w:rFonts w:hint="eastAsia" w:ascii="仿宋" w:hAnsi="仿宋"/>
        </w:rPr>
        <w:t>（三）</w:t>
      </w:r>
      <w:bookmarkStart w:id="156" w:name="_Hlk3642969"/>
      <w:r>
        <w:rPr>
          <w:rFonts w:hint="eastAsia" w:ascii="仿宋" w:hAnsi="仿宋"/>
        </w:rPr>
        <w:t xml:space="preserve">净资本与净资产的比例不得低于 20%； </w:t>
      </w:r>
      <w:bookmarkEnd w:id="156"/>
    </w:p>
    <w:p>
      <w:pPr>
        <w:spacing w:line="360" w:lineRule="auto"/>
        <w:ind w:firstLine="480" w:firstLineChars="200"/>
        <w:rPr>
          <w:rFonts w:ascii="仿宋" w:hAnsi="仿宋"/>
        </w:rPr>
      </w:pPr>
      <w:r>
        <w:rPr>
          <w:rFonts w:hint="eastAsia" w:ascii="仿宋" w:hAnsi="仿宋"/>
        </w:rPr>
        <w:t xml:space="preserve">（四）流动资产与流动负债的比例不得低于 100%； </w:t>
      </w:r>
    </w:p>
    <w:p>
      <w:pPr>
        <w:spacing w:line="360" w:lineRule="auto"/>
        <w:ind w:firstLine="480" w:firstLineChars="200"/>
        <w:rPr>
          <w:rFonts w:ascii="仿宋" w:hAnsi="仿宋"/>
        </w:rPr>
      </w:pPr>
      <w:r>
        <w:rPr>
          <w:rFonts w:hint="eastAsia" w:ascii="仿宋" w:hAnsi="仿宋"/>
        </w:rPr>
        <w:t xml:space="preserve">（五）负债与净资产的比例不得高于 150%； </w:t>
      </w:r>
    </w:p>
    <w:p>
      <w:pPr>
        <w:spacing w:line="360" w:lineRule="auto"/>
        <w:ind w:firstLine="480" w:firstLineChars="200"/>
        <w:rPr>
          <w:rFonts w:ascii="仿宋" w:hAnsi="仿宋"/>
        </w:rPr>
      </w:pPr>
      <w:r>
        <w:rPr>
          <w:rFonts w:hint="eastAsia" w:ascii="仿宋" w:hAnsi="仿宋"/>
        </w:rPr>
        <w:t>（六）规定的最低限额结算准备金要求</w:t>
      </w:r>
      <w:bookmarkEnd w:id="155"/>
    </w:p>
    <w:p>
      <w:pPr>
        <w:spacing w:line="360" w:lineRule="auto"/>
        <w:ind w:firstLine="480" w:firstLineChars="200"/>
        <w:rPr>
          <w:rFonts w:ascii="仿宋" w:hAnsi="仿宋"/>
        </w:rPr>
      </w:pPr>
    </w:p>
    <w:p>
      <w:pPr>
        <w:spacing w:line="360" w:lineRule="auto"/>
        <w:ind w:firstLine="480" w:firstLineChars="200"/>
        <w:rPr>
          <w:rFonts w:ascii="仿宋" w:hAnsi="仿宋"/>
        </w:rPr>
      </w:pPr>
      <w:r>
        <w:rPr>
          <w:rFonts w:hint="eastAsia" w:ascii="仿宋" w:hAnsi="仿宋"/>
        </w:rPr>
        <w:t>第九条 中国证监会对风险监管指标设置预警标准。规定“不得低于”一定标准的风险监管指标，其预警标准是规定标准 的 120%，规定“不得高于”一定标准的风险监管指标，其预警 标准是规定标准的 80%。</w:t>
      </w:r>
    </w:p>
    <w:p>
      <w:pPr>
        <w:pStyle w:val="5"/>
      </w:pPr>
      <w:r>
        <w:rPr>
          <w:rFonts w:hint="eastAsia"/>
        </w:rPr>
        <w:t>5、</w:t>
      </w:r>
      <w:bookmarkStart w:id="157" w:name="_Hlk3643460"/>
      <w:r>
        <w:rPr>
          <w:rFonts w:hint="eastAsia"/>
        </w:rPr>
        <w:t>风险监管报表上应有哪些人签字确认</w:t>
      </w:r>
    </w:p>
    <w:p>
      <w:pPr>
        <w:spacing w:line="360" w:lineRule="auto"/>
        <w:ind w:firstLine="480" w:firstLineChars="200"/>
        <w:rPr>
          <w:rFonts w:ascii="仿宋" w:hAnsi="仿宋"/>
        </w:rPr>
      </w:pPr>
      <w:r>
        <w:rPr>
          <w:rFonts w:hint="eastAsia" w:ascii="仿宋" w:hAnsi="仿宋"/>
        </w:rPr>
        <w:t>依据：第十八条</w:t>
      </w:r>
    </w:p>
    <w:p>
      <w:pPr>
        <w:spacing w:line="360" w:lineRule="auto"/>
        <w:ind w:firstLine="480" w:firstLineChars="200"/>
        <w:rPr>
          <w:rFonts w:ascii="仿宋" w:hAnsi="仿宋"/>
        </w:rPr>
      </w:pPr>
      <w:r>
        <w:rPr>
          <w:rFonts w:hint="eastAsia" w:ascii="仿宋" w:hAnsi="仿宋"/>
        </w:rPr>
        <w:t>第十八条 期货公司法定代表人、经营管理主要负责人、首席风险官、财务负责人应当在风险监管报表上签字确认，</w:t>
      </w:r>
      <w:bookmarkEnd w:id="157"/>
      <w:r>
        <w:rPr>
          <w:rFonts w:hint="eastAsia" w:ascii="仿宋" w:hAnsi="仿宋"/>
        </w:rPr>
        <w:t>并应当保证其真实、准确、完整。</w:t>
      </w:r>
    </w:p>
    <w:p>
      <w:pPr>
        <w:pStyle w:val="5"/>
      </w:pPr>
      <w:r>
        <w:rPr>
          <w:rFonts w:hint="eastAsia"/>
        </w:rPr>
        <w:t>6、编制</w:t>
      </w:r>
      <w:bookmarkStart w:id="158" w:name="_Hlk3643780"/>
      <w:r>
        <w:rPr>
          <w:rFonts w:hint="eastAsia"/>
        </w:rPr>
        <w:t>风险监管报表要求，</w:t>
      </w:r>
      <w:bookmarkEnd w:id="158"/>
      <w:r>
        <w:rPr>
          <w:rFonts w:hint="eastAsia"/>
        </w:rPr>
        <w:t>保证其真实、准确、完整</w:t>
      </w:r>
    </w:p>
    <w:p>
      <w:pPr>
        <w:spacing w:line="360" w:lineRule="auto"/>
        <w:ind w:firstLine="480" w:firstLineChars="200"/>
        <w:rPr>
          <w:rFonts w:ascii="仿宋" w:hAnsi="仿宋"/>
        </w:rPr>
      </w:pPr>
      <w:r>
        <w:rPr>
          <w:rFonts w:hint="eastAsia" w:ascii="仿宋" w:hAnsi="仿宋"/>
        </w:rPr>
        <w:t>依据：第十八条</w:t>
      </w:r>
    </w:p>
    <w:p>
      <w:pPr>
        <w:spacing w:line="360" w:lineRule="auto"/>
        <w:ind w:firstLine="480" w:firstLineChars="200"/>
        <w:rPr>
          <w:rFonts w:ascii="仿宋" w:hAnsi="仿宋"/>
        </w:rPr>
      </w:pPr>
      <w:r>
        <w:rPr>
          <w:rFonts w:hint="eastAsia" w:ascii="仿宋" w:hAnsi="仿宋"/>
        </w:rPr>
        <w:t>第十八条 期货公司法定代表人、经营管理主要负责人、首席风险官、财务负责人应当在风险监管报表上签字确认，并应当保证其真实、准确、完整。</w:t>
      </w:r>
    </w:p>
    <w:p>
      <w:pPr>
        <w:spacing w:line="360" w:lineRule="auto"/>
        <w:rPr>
          <w:rFonts w:ascii="仿宋" w:hAnsi="仿宋"/>
        </w:rPr>
      </w:pPr>
    </w:p>
    <w:p>
      <w:pPr>
        <w:pStyle w:val="5"/>
      </w:pPr>
      <w:r>
        <w:rPr>
          <w:rFonts w:hint="eastAsia"/>
        </w:rPr>
        <w:t>7、期货公司报送的风险监管报表存在漏报、错报，影响中国证监会及其派出机构对期货公司风险状况判断的，监管实施的监管措施</w:t>
      </w:r>
    </w:p>
    <w:p>
      <w:pPr>
        <w:spacing w:line="360" w:lineRule="auto"/>
        <w:ind w:firstLine="480" w:firstLineChars="200"/>
        <w:rPr>
          <w:rFonts w:ascii="仿宋" w:hAnsi="仿宋"/>
        </w:rPr>
      </w:pPr>
      <w:r>
        <w:rPr>
          <w:rFonts w:hint="eastAsia" w:ascii="仿宋" w:hAnsi="仿宋"/>
        </w:rPr>
        <w:t>依据：第二十六条</w:t>
      </w:r>
    </w:p>
    <w:p>
      <w:pPr>
        <w:spacing w:line="360" w:lineRule="auto"/>
        <w:ind w:firstLine="480" w:firstLineChars="200"/>
        <w:rPr>
          <w:rFonts w:ascii="仿宋" w:hAnsi="仿宋"/>
        </w:rPr>
      </w:pPr>
      <w:r>
        <w:rPr>
          <w:rFonts w:hint="eastAsia" w:ascii="仿宋" w:hAnsi="仿宋"/>
        </w:rPr>
        <w:t>第二十六条 期货公司报送的风险监管报表存在漏报、错报，影响中国证监会及其派出机构对期货公司风险状况判断的，中国证监会派出机构应当要求期货公司立即报送更正的风险监管报 表，并可以视情况采取出具警示函、监管谈话等监管措施</w:t>
      </w:r>
    </w:p>
    <w:p>
      <w:pPr>
        <w:spacing w:line="360" w:lineRule="auto"/>
        <w:rPr>
          <w:rFonts w:ascii="仿宋" w:hAnsi="仿宋"/>
        </w:rPr>
      </w:pPr>
    </w:p>
    <w:p>
      <w:pPr>
        <w:pStyle w:val="5"/>
      </w:pPr>
      <w:r>
        <w:rPr>
          <w:rFonts w:hint="eastAsia"/>
        </w:rPr>
        <w:t>8、期货公司风险监管指标达到预警标准的，进入风险预警期。风险预警期内，中国证监会派出机构可视情况采取的措施</w:t>
      </w:r>
    </w:p>
    <w:p>
      <w:pPr>
        <w:spacing w:line="360" w:lineRule="auto"/>
        <w:ind w:firstLine="480" w:firstLineChars="200"/>
        <w:rPr>
          <w:rFonts w:ascii="仿宋" w:hAnsi="仿宋"/>
        </w:rPr>
      </w:pPr>
      <w:r>
        <w:rPr>
          <w:rFonts w:hint="eastAsia" w:ascii="仿宋" w:hAnsi="仿宋"/>
        </w:rPr>
        <w:t>依据：</w:t>
      </w:r>
      <w:bookmarkStart w:id="159" w:name="_Hlk3640437"/>
      <w:r>
        <w:rPr>
          <w:rFonts w:hint="eastAsia" w:ascii="仿宋" w:hAnsi="仿宋"/>
        </w:rPr>
        <w:t>第二十七条</w:t>
      </w:r>
      <w:bookmarkEnd w:id="159"/>
      <w:r>
        <w:rPr>
          <w:rFonts w:hint="eastAsia" w:ascii="仿宋" w:hAnsi="仿宋"/>
        </w:rPr>
        <w:t xml:space="preserve"> </w:t>
      </w:r>
      <w:bookmarkStart w:id="160" w:name="_Hlk3640347"/>
    </w:p>
    <w:p>
      <w:pPr>
        <w:spacing w:line="360" w:lineRule="auto"/>
        <w:ind w:firstLine="480" w:firstLineChars="200"/>
        <w:rPr>
          <w:rFonts w:ascii="仿宋" w:hAnsi="仿宋"/>
        </w:rPr>
      </w:pPr>
      <w:bookmarkStart w:id="161" w:name="_Hlk3644392"/>
      <w:r>
        <w:rPr>
          <w:rFonts w:hint="eastAsia" w:ascii="仿宋" w:hAnsi="仿宋"/>
        </w:rPr>
        <w:t>第二十七条 期货公司风险监管指标达到预警标准的，进入风险预警期。风险预警期内，中国证监会派出机构可视情况采取以下措施</w:t>
      </w:r>
      <w:bookmarkEnd w:id="160"/>
      <w:r>
        <w:rPr>
          <w:rFonts w:hint="eastAsia" w:ascii="仿宋" w:hAnsi="仿宋"/>
        </w:rPr>
        <w:t xml:space="preserve">： </w:t>
      </w:r>
    </w:p>
    <w:p>
      <w:pPr>
        <w:spacing w:line="360" w:lineRule="auto"/>
        <w:ind w:firstLine="480" w:firstLineChars="200"/>
        <w:rPr>
          <w:rFonts w:ascii="仿宋" w:hAnsi="仿宋"/>
        </w:rPr>
      </w:pPr>
      <w:r>
        <w:rPr>
          <w:rFonts w:hint="eastAsia" w:ascii="仿宋" w:hAnsi="仿宋"/>
        </w:rPr>
        <w:t xml:space="preserve">（一）要求 期货公司制定风险监管指标改善方案并定期对监 管指标的改善情况进行书面报告； </w:t>
      </w:r>
    </w:p>
    <w:p>
      <w:pPr>
        <w:spacing w:line="360" w:lineRule="auto"/>
        <w:ind w:firstLine="480" w:firstLineChars="200"/>
        <w:rPr>
          <w:rFonts w:ascii="仿宋" w:hAnsi="仿宋"/>
        </w:rPr>
      </w:pPr>
      <w:r>
        <w:rPr>
          <w:rFonts w:hint="eastAsia" w:ascii="仿宋" w:hAnsi="仿宋"/>
        </w:rPr>
        <w:t xml:space="preserve">（二）要求期货公司进行重大业务决策时，应当至少提前 5个工作日向住所地中国证监会派出机构报送临时报告，说明有关业务对风险监管指标的影响； </w:t>
      </w:r>
    </w:p>
    <w:p>
      <w:pPr>
        <w:spacing w:line="360" w:lineRule="auto"/>
        <w:ind w:firstLine="480" w:firstLineChars="200"/>
        <w:rPr>
          <w:rFonts w:ascii="仿宋" w:hAnsi="仿宋"/>
        </w:rPr>
      </w:pPr>
      <w:r>
        <w:rPr>
          <w:rFonts w:hint="eastAsia" w:ascii="仿宋" w:hAnsi="仿宋"/>
        </w:rPr>
        <w:t xml:space="preserve">（三）要求期货公司增加内部合规检查的频率，并提交合规 检查报告。 </w:t>
      </w:r>
    </w:p>
    <w:p>
      <w:pPr>
        <w:spacing w:line="360" w:lineRule="auto"/>
        <w:ind w:firstLine="480" w:firstLineChars="200"/>
        <w:rPr>
          <w:rFonts w:ascii="仿宋" w:hAnsi="仿宋"/>
        </w:rPr>
      </w:pPr>
      <w:r>
        <w:rPr>
          <w:rFonts w:hint="eastAsia" w:ascii="仿宋" w:hAnsi="仿宋"/>
        </w:rPr>
        <w:t>期货公司未能有效履行相关要求的，中国证监会派出机构可以视情况采取出具警示函、监管谈话等监管措施。</w:t>
      </w:r>
    </w:p>
    <w:bookmarkEnd w:id="161"/>
    <w:p>
      <w:pPr>
        <w:spacing w:line="360" w:lineRule="auto"/>
        <w:ind w:firstLine="480" w:firstLineChars="200"/>
        <w:rPr>
          <w:rFonts w:ascii="仿宋" w:hAnsi="仿宋"/>
        </w:rPr>
      </w:pPr>
    </w:p>
    <w:p>
      <w:pPr>
        <w:pStyle w:val="5"/>
      </w:pPr>
      <w:r>
        <w:rPr>
          <w:rFonts w:hint="eastAsia"/>
        </w:rPr>
        <w:t>9、 风险预警期结束对监管指标的要求</w:t>
      </w:r>
    </w:p>
    <w:p>
      <w:pPr>
        <w:spacing w:line="360" w:lineRule="auto"/>
        <w:ind w:firstLine="480" w:firstLineChars="200"/>
        <w:rPr>
          <w:rFonts w:ascii="仿宋" w:hAnsi="仿宋"/>
        </w:rPr>
      </w:pPr>
      <w:r>
        <w:rPr>
          <w:rFonts w:hint="eastAsia" w:ascii="仿宋" w:hAnsi="仿宋"/>
        </w:rPr>
        <w:t>依据：第二十八条</w:t>
      </w:r>
    </w:p>
    <w:p>
      <w:pPr>
        <w:spacing w:line="360" w:lineRule="auto"/>
        <w:ind w:firstLine="480" w:firstLineChars="200"/>
        <w:rPr>
          <w:rFonts w:ascii="仿宋" w:hAnsi="仿宋"/>
        </w:rPr>
      </w:pPr>
      <w:r>
        <w:rPr>
          <w:rFonts w:hint="eastAsia" w:ascii="仿宋" w:hAnsi="仿宋"/>
        </w:rPr>
        <w:t>第二十八条 期货公司风险监管指标优于预警标准并连续保持 3 个月的，风险预警期结束。</w:t>
      </w:r>
    </w:p>
    <w:p>
      <w:pPr>
        <w:spacing w:line="360" w:lineRule="auto"/>
        <w:ind w:firstLine="482" w:firstLineChars="200"/>
        <w:rPr>
          <w:rFonts w:ascii="仿宋" w:hAnsi="仿宋"/>
          <w:b/>
        </w:rPr>
      </w:pPr>
    </w:p>
    <w:p>
      <w:pPr>
        <w:pStyle w:val="4"/>
        <w:rPr>
          <w:rFonts w:ascii="仿宋" w:hAnsi="仿宋"/>
          <w:szCs w:val="24"/>
        </w:rPr>
      </w:pPr>
      <w:bookmarkStart w:id="162" w:name="_Toc3896731"/>
      <w:r>
        <w:rPr>
          <w:rFonts w:hint="eastAsia" w:ascii="仿宋" w:hAnsi="仿宋"/>
          <w:szCs w:val="24"/>
        </w:rPr>
        <w:t>（八）《期货公司期货投资咨询业务试行办法》</w:t>
      </w:r>
      <w:bookmarkEnd w:id="145"/>
      <w:bookmarkEnd w:id="146"/>
      <w:bookmarkEnd w:id="162"/>
    </w:p>
    <w:p>
      <w:pPr>
        <w:pStyle w:val="5"/>
      </w:pPr>
      <w:r>
        <w:rPr>
          <w:rFonts w:hint="eastAsia"/>
        </w:rPr>
        <w:t>1、期货咨询从业资格许可</w:t>
      </w:r>
    </w:p>
    <w:p>
      <w:pPr>
        <w:spacing w:line="360" w:lineRule="auto"/>
        <w:ind w:firstLine="480" w:firstLineChars="200"/>
        <w:rPr>
          <w:rFonts w:ascii="仿宋" w:hAnsi="仿宋"/>
        </w:rPr>
      </w:pPr>
      <w:r>
        <w:rPr>
          <w:rFonts w:hint="eastAsia" w:ascii="仿宋" w:hAnsi="仿宋"/>
        </w:rPr>
        <w:t>期货公司及其从业人员从事投资咨询业务均需取得业务资格。</w:t>
      </w:r>
    </w:p>
    <w:p>
      <w:pPr>
        <w:spacing w:line="360" w:lineRule="auto"/>
        <w:ind w:firstLine="480" w:firstLineChars="200"/>
        <w:rPr>
          <w:rFonts w:ascii="仿宋" w:hAnsi="仿宋"/>
        </w:rPr>
      </w:pPr>
      <w:r>
        <w:rPr>
          <w:rFonts w:hint="eastAsia" w:ascii="仿宋" w:hAnsi="仿宋"/>
        </w:rPr>
        <w:t>依据：第三条</w:t>
      </w:r>
    </w:p>
    <w:p>
      <w:pPr>
        <w:spacing w:line="360" w:lineRule="auto"/>
        <w:ind w:firstLine="480" w:firstLineChars="200"/>
        <w:rPr>
          <w:rFonts w:ascii="仿宋" w:hAnsi="仿宋"/>
        </w:rPr>
      </w:pPr>
      <w:r>
        <w:rPr>
          <w:rFonts w:hint="eastAsia" w:ascii="仿宋" w:hAnsi="仿宋"/>
        </w:rPr>
        <w:t>第三条</w:t>
      </w:r>
      <w:r>
        <w:rPr>
          <w:rFonts w:hint="eastAsia" w:ascii="宋体" w:hAnsi="宋体" w:eastAsia="宋体" w:cs="宋体"/>
        </w:rPr>
        <w:t> </w:t>
      </w:r>
      <w:r>
        <w:rPr>
          <w:rFonts w:hint="eastAsia" w:ascii="仿宋" w:hAnsi="仿宋"/>
        </w:rPr>
        <w:t>期货公司从事期货投资咨询业务，应当经中国证监会批准取得期货投资咨询业务资格；期货公司从事期货投资咨询业务的人员应当取得期货投资咨询业务从业资格。</w:t>
      </w:r>
    </w:p>
    <w:p>
      <w:pPr>
        <w:spacing w:line="360" w:lineRule="auto"/>
        <w:ind w:firstLine="480" w:firstLineChars="200"/>
        <w:rPr>
          <w:rFonts w:ascii="仿宋" w:hAnsi="仿宋"/>
        </w:rPr>
      </w:pPr>
      <w:r>
        <w:rPr>
          <w:rFonts w:hint="eastAsia" w:ascii="仿宋" w:hAnsi="仿宋"/>
        </w:rPr>
        <w:t>未取得规定资格的期货公司及其从业人员不得从事期货投资咨询业务活动。</w:t>
      </w:r>
    </w:p>
    <w:p>
      <w:pPr>
        <w:pStyle w:val="5"/>
      </w:pPr>
      <w:r>
        <w:rPr>
          <w:rFonts w:hint="eastAsia"/>
        </w:rPr>
        <w:t>2、期货公司申请投资咨询业务的条件</w:t>
      </w:r>
    </w:p>
    <w:p>
      <w:pPr>
        <w:spacing w:line="360" w:lineRule="auto"/>
        <w:ind w:firstLine="480" w:firstLineChars="200"/>
        <w:rPr>
          <w:rFonts w:ascii="仿宋" w:hAnsi="仿宋"/>
          <w:b/>
        </w:rPr>
      </w:pPr>
      <w:r>
        <w:rPr>
          <w:rFonts w:hint="eastAsia" w:ascii="仿宋" w:hAnsi="仿宋"/>
        </w:rPr>
        <w:t>依据：第六条</w:t>
      </w:r>
    </w:p>
    <w:p>
      <w:pPr>
        <w:spacing w:line="360" w:lineRule="auto"/>
        <w:ind w:firstLine="480" w:firstLineChars="200"/>
        <w:rPr>
          <w:rFonts w:ascii="仿宋" w:hAnsi="仿宋"/>
          <w:b/>
        </w:rPr>
      </w:pPr>
      <w:r>
        <w:rPr>
          <w:rFonts w:hint="eastAsia" w:ascii="仿宋" w:hAnsi="仿宋"/>
        </w:rPr>
        <w:t>第六条 期货公司申请从事期货投资咨询业务，应当具备下列条件：</w:t>
      </w:r>
    </w:p>
    <w:p>
      <w:pPr>
        <w:spacing w:line="360" w:lineRule="auto"/>
        <w:ind w:firstLine="480" w:firstLineChars="200"/>
        <w:rPr>
          <w:rFonts w:ascii="仿宋" w:hAnsi="仿宋"/>
        </w:rPr>
      </w:pPr>
      <w:r>
        <w:rPr>
          <w:rFonts w:hint="eastAsia" w:ascii="仿宋" w:hAnsi="仿宋"/>
        </w:rPr>
        <w:t>（一）注册资本不低于人民币</w:t>
      </w:r>
      <w:r>
        <w:rPr>
          <w:rFonts w:ascii="仿宋" w:hAnsi="仿宋"/>
        </w:rPr>
        <w:t>1</w:t>
      </w:r>
      <w:r>
        <w:rPr>
          <w:rFonts w:hint="eastAsia" w:ascii="仿宋" w:hAnsi="仿宋"/>
        </w:rPr>
        <w:t>亿元，且净资本不低于人民币</w:t>
      </w:r>
      <w:r>
        <w:rPr>
          <w:rFonts w:ascii="仿宋" w:hAnsi="仿宋"/>
        </w:rPr>
        <w:t>8000</w:t>
      </w:r>
      <w:r>
        <w:rPr>
          <w:rFonts w:hint="eastAsia" w:ascii="仿宋" w:hAnsi="仿宋"/>
        </w:rPr>
        <w:t>万元；</w:t>
      </w:r>
    </w:p>
    <w:p>
      <w:pPr>
        <w:spacing w:line="360" w:lineRule="auto"/>
        <w:ind w:firstLine="480" w:firstLineChars="200"/>
        <w:rPr>
          <w:rFonts w:ascii="仿宋" w:hAnsi="仿宋"/>
        </w:rPr>
      </w:pPr>
      <w:r>
        <w:rPr>
          <w:rFonts w:hint="eastAsia" w:ascii="仿宋" w:hAnsi="仿宋"/>
        </w:rPr>
        <w:t>（二）申请日前</w:t>
      </w:r>
      <w:r>
        <w:rPr>
          <w:rFonts w:ascii="仿宋" w:hAnsi="仿宋"/>
        </w:rPr>
        <w:t>6</w:t>
      </w:r>
      <w:r>
        <w:rPr>
          <w:rFonts w:hint="eastAsia" w:ascii="仿宋" w:hAnsi="仿宋"/>
        </w:rPr>
        <w:t>个月的风险监管指标持续符合监管要求；</w:t>
      </w:r>
    </w:p>
    <w:p>
      <w:pPr>
        <w:spacing w:line="360" w:lineRule="auto"/>
        <w:ind w:firstLine="480" w:firstLineChars="200"/>
        <w:rPr>
          <w:rFonts w:ascii="仿宋" w:hAnsi="仿宋"/>
        </w:rPr>
      </w:pPr>
      <w:r>
        <w:rPr>
          <w:rFonts w:hint="eastAsia" w:ascii="仿宋" w:hAnsi="仿宋"/>
        </w:rPr>
        <w:t>（三）具有</w:t>
      </w:r>
      <w:r>
        <w:rPr>
          <w:rFonts w:ascii="仿宋" w:hAnsi="仿宋"/>
        </w:rPr>
        <w:t>3</w:t>
      </w:r>
      <w:r>
        <w:rPr>
          <w:rFonts w:hint="eastAsia" w:ascii="仿宋" w:hAnsi="仿宋"/>
        </w:rPr>
        <w:t>年以上期货从业经历并取得期货投资咨询从业资格的高级管理人员不少于</w:t>
      </w:r>
      <w:r>
        <w:rPr>
          <w:rFonts w:ascii="仿宋" w:hAnsi="仿宋"/>
        </w:rPr>
        <w:t>1</w:t>
      </w:r>
      <w:r>
        <w:rPr>
          <w:rFonts w:hint="eastAsia" w:ascii="仿宋" w:hAnsi="仿宋"/>
        </w:rPr>
        <w:t>名，具有</w:t>
      </w:r>
      <w:r>
        <w:rPr>
          <w:rFonts w:ascii="仿宋" w:hAnsi="仿宋"/>
        </w:rPr>
        <w:t>2</w:t>
      </w:r>
      <w:r>
        <w:rPr>
          <w:rFonts w:hint="eastAsia" w:ascii="仿宋" w:hAnsi="仿宋"/>
        </w:rPr>
        <w:t>年以上期货从业经历并取得期货投资咨询从业资格的业务人员不少于</w:t>
      </w:r>
      <w:r>
        <w:rPr>
          <w:rFonts w:ascii="仿宋" w:hAnsi="仿宋"/>
        </w:rPr>
        <w:t>5</w:t>
      </w:r>
      <w:r>
        <w:rPr>
          <w:rFonts w:hint="eastAsia" w:ascii="仿宋" w:hAnsi="仿宋"/>
        </w:rPr>
        <w:t>名，且前述高级管理人员和业务人员最近</w:t>
      </w:r>
      <w:r>
        <w:rPr>
          <w:rFonts w:ascii="仿宋" w:hAnsi="仿宋"/>
        </w:rPr>
        <w:t>3</w:t>
      </w:r>
      <w:r>
        <w:rPr>
          <w:rFonts w:hint="eastAsia" w:ascii="仿宋" w:hAnsi="仿宋"/>
        </w:rPr>
        <w:t>年内无不良诚信记录，未受到行政、刑事处罚，且不存在因涉嫌违法违规正被有权机关调查的情形；</w:t>
      </w:r>
    </w:p>
    <w:p>
      <w:pPr>
        <w:spacing w:line="360" w:lineRule="auto"/>
        <w:ind w:firstLine="480" w:firstLineChars="200"/>
        <w:rPr>
          <w:rFonts w:ascii="仿宋" w:hAnsi="仿宋"/>
        </w:rPr>
      </w:pPr>
      <w:r>
        <w:rPr>
          <w:rFonts w:hint="eastAsia" w:ascii="仿宋" w:hAnsi="仿宋"/>
        </w:rPr>
        <w:t>（四）具有完备的期货投资咨询业务管理制度；</w:t>
      </w:r>
    </w:p>
    <w:p>
      <w:pPr>
        <w:spacing w:line="360" w:lineRule="auto"/>
        <w:ind w:firstLine="480" w:firstLineChars="200"/>
        <w:rPr>
          <w:rFonts w:ascii="仿宋" w:hAnsi="仿宋"/>
        </w:rPr>
      </w:pPr>
      <w:r>
        <w:rPr>
          <w:rFonts w:hint="eastAsia" w:ascii="仿宋" w:hAnsi="仿宋"/>
        </w:rPr>
        <w:t>（五）近</w:t>
      </w:r>
      <w:r>
        <w:rPr>
          <w:rFonts w:ascii="仿宋" w:hAnsi="仿宋"/>
        </w:rPr>
        <w:t>3</w:t>
      </w:r>
      <w:r>
        <w:rPr>
          <w:rFonts w:hint="eastAsia" w:ascii="仿宋" w:hAnsi="仿宋"/>
        </w:rPr>
        <w:t>年内未因违法违规经营受到行政、刑事处罚，且不存在因涉嫌重大违法违规正被有权机关调查的情形；</w:t>
      </w:r>
      <w:r>
        <w:rPr>
          <w:rFonts w:ascii="仿宋" w:hAnsi="仿宋"/>
        </w:rPr>
        <w:br w:type="textWrapping"/>
      </w:r>
      <w:r>
        <w:rPr>
          <w:rFonts w:hint="eastAsia" w:ascii="仿宋" w:hAnsi="仿宋"/>
        </w:rPr>
        <w:t>　</w:t>
      </w:r>
      <w:r>
        <w:rPr>
          <w:rFonts w:hint="eastAsia" w:ascii="宋体" w:hAnsi="宋体" w:eastAsia="宋体" w:cs="宋体"/>
        </w:rPr>
        <w:t> </w:t>
      </w:r>
      <w:r>
        <w:rPr>
          <w:rFonts w:hint="eastAsia" w:ascii="仿宋" w:hAnsi="仿宋"/>
        </w:rPr>
        <w:t>（六）近</w:t>
      </w:r>
      <w:r>
        <w:rPr>
          <w:rFonts w:ascii="仿宋" w:hAnsi="仿宋"/>
        </w:rPr>
        <w:t>1</w:t>
      </w:r>
      <w:r>
        <w:rPr>
          <w:rFonts w:hint="eastAsia" w:ascii="仿宋" w:hAnsi="仿宋"/>
        </w:rPr>
        <w:t>年内不存在被监管机构采取《期货交易管理条例》第五十九条第二款、第六十条规定的监管措施的情形；</w:t>
      </w:r>
      <w:r>
        <w:rPr>
          <w:rFonts w:ascii="仿宋" w:hAnsi="仿宋"/>
        </w:rPr>
        <w:br w:type="textWrapping"/>
      </w:r>
      <w:r>
        <w:rPr>
          <w:rFonts w:hint="eastAsia" w:ascii="仿宋" w:hAnsi="仿宋"/>
        </w:rPr>
        <w:t>　</w:t>
      </w:r>
      <w:r>
        <w:rPr>
          <w:rFonts w:hint="eastAsia" w:ascii="宋体" w:hAnsi="宋体" w:eastAsia="宋体" w:cs="宋体"/>
        </w:rPr>
        <w:t> </w:t>
      </w:r>
      <w:r>
        <w:rPr>
          <w:rFonts w:hint="eastAsia" w:ascii="仿宋" w:hAnsi="仿宋"/>
        </w:rPr>
        <w:t>（七）中国证监会根据审慎监管原则规定的其他条件。</w:t>
      </w:r>
    </w:p>
    <w:p>
      <w:pPr>
        <w:pStyle w:val="5"/>
      </w:pPr>
      <w:r>
        <w:rPr>
          <w:rFonts w:hint="eastAsia"/>
        </w:rPr>
        <w:t>3、期货公司及其从业人员从事投资咨询业务应当勤勉、尽责；不得对服务能力进行虚假、误导性宣传，不得欺诈或者误导客户</w:t>
      </w:r>
    </w:p>
    <w:p>
      <w:pPr>
        <w:spacing w:line="360" w:lineRule="auto"/>
        <w:ind w:firstLine="480" w:firstLineChars="200"/>
        <w:rPr>
          <w:rFonts w:ascii="仿宋" w:hAnsi="仿宋"/>
        </w:rPr>
      </w:pPr>
      <w:r>
        <w:rPr>
          <w:rFonts w:hint="eastAsia" w:ascii="仿宋" w:hAnsi="仿宋"/>
        </w:rPr>
        <w:t>期货公司及其从业人员从事投资咨询业务的责任和义务。</w:t>
      </w:r>
    </w:p>
    <w:p>
      <w:pPr>
        <w:spacing w:line="360" w:lineRule="auto"/>
        <w:ind w:firstLine="480" w:firstLineChars="200"/>
        <w:rPr>
          <w:rFonts w:ascii="仿宋" w:hAnsi="仿宋"/>
        </w:rPr>
      </w:pPr>
      <w:r>
        <w:rPr>
          <w:rFonts w:hint="eastAsia" w:ascii="仿宋" w:hAnsi="仿宋"/>
        </w:rPr>
        <w:t>依据：第十条</w:t>
      </w:r>
    </w:p>
    <w:p>
      <w:pPr>
        <w:spacing w:line="360" w:lineRule="auto"/>
        <w:ind w:firstLine="480" w:firstLineChars="200"/>
        <w:rPr>
          <w:rFonts w:ascii="仿宋" w:hAnsi="仿宋"/>
        </w:rPr>
      </w:pPr>
      <w:r>
        <w:rPr>
          <w:rFonts w:hint="eastAsia" w:ascii="仿宋" w:hAnsi="仿宋"/>
        </w:rPr>
        <w:t>第十条</w:t>
      </w:r>
      <w:r>
        <w:rPr>
          <w:rFonts w:hint="eastAsia" w:ascii="宋体" w:hAnsi="宋体" w:eastAsia="宋体" w:cs="宋体"/>
        </w:rPr>
        <w:t xml:space="preserve"> </w:t>
      </w:r>
      <w:r>
        <w:rPr>
          <w:rFonts w:hint="eastAsia" w:ascii="仿宋" w:hAnsi="仿宋"/>
        </w:rPr>
        <w:t>期货公司及其从业人员应当以专业的技能，谨慎、勤勉、尽责地为客户提供期货投资咨询服务，保守客户的商业秘密，维护客户合法权益。</w:t>
      </w:r>
    </w:p>
    <w:p>
      <w:pPr>
        <w:spacing w:line="360" w:lineRule="auto"/>
        <w:ind w:firstLine="480" w:firstLineChars="200"/>
        <w:rPr>
          <w:rFonts w:ascii="仿宋" w:hAnsi="仿宋"/>
        </w:rPr>
      </w:pPr>
      <w:r>
        <w:rPr>
          <w:rFonts w:hint="eastAsia" w:ascii="仿宋" w:hAnsi="仿宋"/>
        </w:rPr>
        <w:t>期货公司及其从业人员不得对期货投资咨询服务能力进行虚假、误导性的宣传，不得欺诈或者误导客户。</w:t>
      </w:r>
    </w:p>
    <w:p>
      <w:pPr>
        <w:pStyle w:val="5"/>
      </w:pPr>
      <w:r>
        <w:rPr>
          <w:rFonts w:hint="eastAsia"/>
        </w:rPr>
        <w:t>4、信息公示</w:t>
      </w:r>
    </w:p>
    <w:p>
      <w:pPr>
        <w:spacing w:line="360" w:lineRule="auto"/>
        <w:ind w:firstLine="480" w:firstLineChars="200"/>
        <w:rPr>
          <w:rFonts w:ascii="仿宋" w:hAnsi="仿宋"/>
        </w:rPr>
      </w:pPr>
      <w:r>
        <w:rPr>
          <w:rFonts w:hint="eastAsia" w:ascii="仿宋" w:hAnsi="仿宋"/>
        </w:rPr>
        <w:t>营业场所、公司网站和中国期货业协会网站上公示公司的业务资格、人员的从业资格、服务内容、投诉方式等相关信息</w:t>
      </w:r>
    </w:p>
    <w:p>
      <w:pPr>
        <w:spacing w:line="360" w:lineRule="auto"/>
        <w:ind w:firstLine="480" w:firstLineChars="200"/>
        <w:rPr>
          <w:rFonts w:ascii="仿宋" w:hAnsi="仿宋"/>
        </w:rPr>
      </w:pPr>
      <w:r>
        <w:rPr>
          <w:rFonts w:hint="eastAsia" w:ascii="仿宋" w:hAnsi="仿宋"/>
        </w:rPr>
        <w:t>依据：第十一条</w:t>
      </w:r>
    </w:p>
    <w:p>
      <w:pPr>
        <w:spacing w:line="360" w:lineRule="auto"/>
        <w:ind w:firstLine="480" w:firstLineChars="200"/>
        <w:rPr>
          <w:rFonts w:ascii="仿宋" w:hAnsi="仿宋"/>
        </w:rPr>
      </w:pPr>
      <w:r>
        <w:rPr>
          <w:rFonts w:hint="eastAsia" w:ascii="仿宋" w:hAnsi="仿宋"/>
        </w:rPr>
        <w:t>第十一条</w:t>
      </w:r>
      <w:r>
        <w:rPr>
          <w:rFonts w:hint="eastAsia" w:ascii="宋体" w:hAnsi="宋体" w:eastAsia="宋体" w:cs="宋体"/>
        </w:rPr>
        <w:t xml:space="preserve"> </w:t>
      </w:r>
      <w:r>
        <w:rPr>
          <w:rFonts w:hint="eastAsia" w:ascii="仿宋" w:hAnsi="仿宋"/>
        </w:rPr>
        <w:t>期货公司应当按照信息公示有关规定，在营业场所、公司网站和中国期货业协会网站上公示公司的业务资格、人员的从业资格、服务内容、投诉方式等相关信息。</w:t>
      </w:r>
    </w:p>
    <w:p>
      <w:pPr>
        <w:pStyle w:val="5"/>
      </w:pPr>
      <w:r>
        <w:rPr>
          <w:rFonts w:hint="eastAsia"/>
        </w:rPr>
        <w:t>5、禁止行为</w:t>
      </w:r>
    </w:p>
    <w:p>
      <w:pPr>
        <w:spacing w:line="360" w:lineRule="auto"/>
        <w:ind w:firstLine="480" w:firstLineChars="200"/>
        <w:rPr>
          <w:rFonts w:ascii="仿宋" w:hAnsi="仿宋"/>
        </w:rPr>
      </w:pPr>
      <w:r>
        <w:rPr>
          <w:rFonts w:hint="eastAsia" w:ascii="仿宋" w:hAnsi="仿宋"/>
        </w:rPr>
        <w:t>期货公司及其从业人员从事投资咨询业务禁止行为</w:t>
      </w:r>
    </w:p>
    <w:p>
      <w:pPr>
        <w:spacing w:line="360" w:lineRule="auto"/>
        <w:ind w:firstLine="480" w:firstLineChars="200"/>
        <w:rPr>
          <w:rFonts w:ascii="仿宋" w:hAnsi="仿宋"/>
        </w:rPr>
      </w:pPr>
      <w:r>
        <w:rPr>
          <w:rFonts w:hint="eastAsia" w:ascii="仿宋" w:hAnsi="仿宋"/>
        </w:rPr>
        <w:t>依据：第十三条</w:t>
      </w:r>
    </w:p>
    <w:p>
      <w:pPr>
        <w:spacing w:line="360" w:lineRule="auto"/>
        <w:ind w:firstLine="480" w:firstLineChars="200"/>
        <w:rPr>
          <w:rFonts w:ascii="仿宋" w:hAnsi="仿宋"/>
        </w:rPr>
      </w:pPr>
      <w:r>
        <w:rPr>
          <w:rFonts w:hint="eastAsia" w:ascii="仿宋" w:hAnsi="仿宋"/>
        </w:rPr>
        <w:t>第十三条</w:t>
      </w:r>
      <w:r>
        <w:rPr>
          <w:rFonts w:hint="eastAsia" w:ascii="宋体" w:hAnsi="宋体" w:eastAsia="宋体" w:cs="宋体"/>
        </w:rPr>
        <w:t xml:space="preserve"> </w:t>
      </w:r>
      <w:r>
        <w:rPr>
          <w:rFonts w:hint="eastAsia" w:ascii="仿宋" w:hAnsi="仿宋"/>
        </w:rPr>
        <w:t>期货公司及其从业人员在开展期货投资咨询服务时，不得从事下列行为：</w:t>
      </w:r>
    </w:p>
    <w:p>
      <w:pPr>
        <w:spacing w:line="360" w:lineRule="auto"/>
        <w:ind w:firstLine="480" w:firstLineChars="200"/>
        <w:rPr>
          <w:rFonts w:ascii="仿宋" w:hAnsi="仿宋"/>
        </w:rPr>
      </w:pPr>
      <w:r>
        <w:rPr>
          <w:rFonts w:hint="eastAsia" w:ascii="仿宋" w:hAnsi="仿宋"/>
        </w:rPr>
        <w:t>（一）向客户做获利保证，或者约定分享收益或共担风险；</w:t>
      </w:r>
    </w:p>
    <w:p>
      <w:pPr>
        <w:spacing w:line="360" w:lineRule="auto"/>
        <w:ind w:firstLine="480" w:firstLineChars="200"/>
        <w:rPr>
          <w:rFonts w:ascii="仿宋" w:hAnsi="仿宋"/>
        </w:rPr>
      </w:pPr>
      <w:r>
        <w:rPr>
          <w:rFonts w:hint="eastAsia" w:ascii="仿宋" w:hAnsi="仿宋"/>
        </w:rPr>
        <w:t>（二）以虚假信息、市场传言或者内幕信息为依据向客户提供期货投资咨询服务；</w:t>
      </w:r>
    </w:p>
    <w:p>
      <w:pPr>
        <w:spacing w:line="360" w:lineRule="auto"/>
        <w:ind w:firstLine="480" w:firstLineChars="200"/>
        <w:rPr>
          <w:rFonts w:ascii="仿宋" w:hAnsi="仿宋"/>
        </w:rPr>
      </w:pPr>
      <w:r>
        <w:rPr>
          <w:rFonts w:hint="eastAsia" w:ascii="仿宋" w:hAnsi="仿宋"/>
        </w:rPr>
        <w:t>（三）利用期货投资咨询活动操纵期货交易价格、进行内幕交易，或者传播虚假、误导性信息；</w:t>
      </w:r>
    </w:p>
    <w:p>
      <w:pPr>
        <w:spacing w:line="360" w:lineRule="auto"/>
        <w:ind w:firstLine="480" w:firstLineChars="200"/>
        <w:rPr>
          <w:rFonts w:ascii="仿宋" w:hAnsi="仿宋"/>
        </w:rPr>
      </w:pPr>
      <w:r>
        <w:rPr>
          <w:rFonts w:hint="eastAsia" w:ascii="仿宋" w:hAnsi="仿宋"/>
        </w:rPr>
        <w:t>（四）以个人名义收取服务报酬；</w:t>
      </w:r>
    </w:p>
    <w:p>
      <w:pPr>
        <w:spacing w:line="360" w:lineRule="auto"/>
        <w:ind w:firstLine="480" w:firstLineChars="200"/>
        <w:rPr>
          <w:rFonts w:ascii="仿宋" w:hAnsi="仿宋"/>
        </w:rPr>
      </w:pPr>
      <w:r>
        <w:rPr>
          <w:rFonts w:hint="eastAsia" w:ascii="仿宋" w:hAnsi="仿宋"/>
        </w:rPr>
        <w:t>（五）期货法规、规章禁止的其他行为。</w:t>
      </w:r>
    </w:p>
    <w:p>
      <w:pPr>
        <w:spacing w:line="360" w:lineRule="auto"/>
        <w:ind w:firstLine="480" w:firstLineChars="200"/>
        <w:rPr>
          <w:rFonts w:ascii="仿宋" w:hAnsi="仿宋"/>
        </w:rPr>
      </w:pPr>
      <w:r>
        <w:rPr>
          <w:rFonts w:hint="eastAsia" w:ascii="仿宋" w:hAnsi="仿宋"/>
        </w:rPr>
        <w:t>期货投资咨询业务人员在开展期货投资咨询服务时，不得接受客户委托代为从事期货交易。</w:t>
      </w:r>
    </w:p>
    <w:p>
      <w:pPr>
        <w:pStyle w:val="5"/>
      </w:pPr>
      <w:r>
        <w:rPr>
          <w:rFonts w:hint="eastAsia"/>
        </w:rPr>
        <w:t>6、利益冲突处理原则</w:t>
      </w:r>
    </w:p>
    <w:p>
      <w:pPr>
        <w:spacing w:line="360" w:lineRule="auto"/>
        <w:ind w:firstLine="480" w:firstLineChars="200"/>
        <w:rPr>
          <w:rFonts w:ascii="仿宋" w:hAnsi="仿宋"/>
        </w:rPr>
      </w:pPr>
      <w:r>
        <w:rPr>
          <w:rFonts w:hint="eastAsia" w:ascii="仿宋" w:hAnsi="仿宋"/>
        </w:rPr>
        <w:t>期货公司及其从业人员与客户之间可能发生利益冲突的，应当遵循客户利益优先的原则予以处理</w:t>
      </w:r>
    </w:p>
    <w:p>
      <w:pPr>
        <w:spacing w:line="360" w:lineRule="auto"/>
        <w:ind w:firstLine="480" w:firstLineChars="200"/>
        <w:rPr>
          <w:rFonts w:ascii="仿宋" w:hAnsi="仿宋"/>
        </w:rPr>
      </w:pPr>
      <w:r>
        <w:rPr>
          <w:rFonts w:hint="eastAsia" w:ascii="仿宋" w:hAnsi="仿宋"/>
        </w:rPr>
        <w:t>不同客户之间存在利益冲突的，应当遵循公平对待的原则予以处理。</w:t>
      </w:r>
    </w:p>
    <w:p>
      <w:pPr>
        <w:spacing w:line="360" w:lineRule="auto"/>
        <w:ind w:firstLine="480" w:firstLineChars="200"/>
        <w:rPr>
          <w:rFonts w:ascii="仿宋" w:hAnsi="仿宋"/>
        </w:rPr>
      </w:pPr>
      <w:r>
        <w:rPr>
          <w:rFonts w:hint="eastAsia" w:ascii="仿宋" w:hAnsi="仿宋"/>
        </w:rPr>
        <w:t>依据：第二十四条</w:t>
      </w:r>
    </w:p>
    <w:p>
      <w:pPr>
        <w:spacing w:line="360" w:lineRule="auto"/>
        <w:ind w:firstLine="480" w:firstLineChars="200"/>
        <w:rPr>
          <w:rFonts w:ascii="仿宋" w:hAnsi="仿宋"/>
        </w:rPr>
      </w:pPr>
      <w:r>
        <w:rPr>
          <w:rFonts w:hint="eastAsia" w:ascii="仿宋" w:hAnsi="仿宋"/>
        </w:rPr>
        <w:t>第二十四条</w:t>
      </w:r>
      <w:r>
        <w:rPr>
          <w:rFonts w:hint="eastAsia" w:ascii="宋体" w:hAnsi="宋体" w:eastAsia="宋体" w:cs="宋体"/>
        </w:rPr>
        <w:t xml:space="preserve"> </w:t>
      </w:r>
      <w:r>
        <w:rPr>
          <w:rFonts w:hint="eastAsia" w:ascii="仿宋" w:hAnsi="仿宋"/>
        </w:rPr>
        <w:t>期货公司及其从业人员与客户之间可能发生利益冲突的，应当遵循客户利益优先的原则予以处理；不同客户之间存在利益冲突的，应当遵循公平对待的原则予以处理。</w:t>
      </w:r>
    </w:p>
    <w:p>
      <w:pPr>
        <w:pStyle w:val="4"/>
        <w:rPr>
          <w:rFonts w:ascii="仿宋" w:hAnsi="仿宋"/>
          <w:szCs w:val="24"/>
        </w:rPr>
      </w:pPr>
      <w:bookmarkStart w:id="163" w:name="_Toc3896732"/>
      <w:bookmarkStart w:id="164" w:name="_Toc445043906"/>
      <w:bookmarkStart w:id="165" w:name="_Toc404963370"/>
      <w:r>
        <w:rPr>
          <w:rFonts w:hint="eastAsia" w:ascii="仿宋" w:hAnsi="仿宋"/>
          <w:szCs w:val="24"/>
        </w:rPr>
        <w:t>（九）《期货公司董事、监事、高级管理人员任职资格管理办法》</w:t>
      </w:r>
      <w:bookmarkEnd w:id="163"/>
      <w:bookmarkEnd w:id="164"/>
      <w:bookmarkEnd w:id="165"/>
    </w:p>
    <w:p>
      <w:pPr>
        <w:pStyle w:val="5"/>
      </w:pPr>
      <w:r>
        <w:rPr>
          <w:rFonts w:hint="eastAsia"/>
        </w:rPr>
        <w:t>1、期货公司高级管理人员勤勉义务</w:t>
      </w:r>
    </w:p>
    <w:p>
      <w:pPr>
        <w:spacing w:line="360" w:lineRule="auto"/>
        <w:ind w:firstLine="480" w:firstLineChars="200"/>
        <w:rPr>
          <w:rFonts w:ascii="仿宋" w:hAnsi="仿宋"/>
        </w:rPr>
      </w:pPr>
      <w:r>
        <w:rPr>
          <w:rFonts w:hint="eastAsia" w:ascii="仿宋" w:hAnsi="仿宋"/>
        </w:rPr>
        <w:t>依据：第三十九条</w:t>
      </w:r>
    </w:p>
    <w:p>
      <w:pPr>
        <w:spacing w:line="360" w:lineRule="auto"/>
        <w:ind w:firstLine="480" w:firstLineChars="200"/>
        <w:rPr>
          <w:rFonts w:ascii="仿宋" w:hAnsi="仿宋"/>
        </w:rPr>
      </w:pPr>
      <w:r>
        <w:rPr>
          <w:rFonts w:hint="eastAsia" w:ascii="仿宋" w:hAnsi="仿宋"/>
        </w:rPr>
        <w:t>第三十九条 期货公司高级管理人员应当遵循诚信原则，谨慎地在职权范围内行使职权，维护客户和公司的合法利益，不得从事或者配合他人从事损害客户和公司利益的活动，不得利用职务之便为自己或者他人谋取属于本公司的商业机会</w:t>
      </w:r>
    </w:p>
    <w:p>
      <w:pPr>
        <w:pStyle w:val="5"/>
      </w:pPr>
      <w:r>
        <w:rPr>
          <w:rFonts w:hint="eastAsia"/>
        </w:rPr>
        <w:t>2、回避义务</w:t>
      </w:r>
    </w:p>
    <w:p>
      <w:pPr>
        <w:spacing w:line="360" w:lineRule="auto"/>
        <w:ind w:firstLine="480" w:firstLineChars="200"/>
        <w:rPr>
          <w:rFonts w:ascii="仿宋" w:hAnsi="仿宋"/>
        </w:rPr>
      </w:pPr>
      <w:r>
        <w:rPr>
          <w:rFonts w:hint="eastAsia" w:ascii="仿宋" w:hAnsi="仿宋"/>
        </w:rPr>
        <w:t>依据：第四十条</w:t>
      </w:r>
    </w:p>
    <w:p>
      <w:pPr>
        <w:spacing w:line="360" w:lineRule="auto"/>
        <w:ind w:firstLine="480" w:firstLineChars="200"/>
        <w:rPr>
          <w:rFonts w:ascii="仿宋" w:hAnsi="仿宋"/>
        </w:rPr>
      </w:pPr>
      <w:r>
        <w:rPr>
          <w:rFonts w:hint="eastAsia" w:ascii="仿宋" w:hAnsi="仿宋"/>
        </w:rPr>
        <w:t>第四十条</w:t>
      </w:r>
      <w:r>
        <w:rPr>
          <w:rFonts w:ascii="仿宋" w:hAnsi="仿宋"/>
        </w:rPr>
        <w:t xml:space="preserve"> </w:t>
      </w:r>
      <w:r>
        <w:rPr>
          <w:rFonts w:hint="eastAsia" w:ascii="仿宋" w:hAnsi="仿宋"/>
        </w:rPr>
        <w:t>期货公司董事、监事、高级管理人员的近亲属在期货公司从事期货交易的，有关董事、监事、高级管理人员应当在知悉或者应当知悉之日起</w:t>
      </w:r>
      <w:r>
        <w:rPr>
          <w:rFonts w:ascii="仿宋" w:hAnsi="仿宋"/>
        </w:rPr>
        <w:t>5</w:t>
      </w:r>
      <w:r>
        <w:rPr>
          <w:rFonts w:hint="eastAsia" w:ascii="仿宋" w:hAnsi="仿宋"/>
        </w:rPr>
        <w:t>个工作日内向公司报告，并遵循回避原则。公司应当在接到报告之日起</w:t>
      </w:r>
      <w:r>
        <w:rPr>
          <w:rFonts w:ascii="仿宋" w:hAnsi="仿宋"/>
        </w:rPr>
        <w:t>5</w:t>
      </w:r>
      <w:r>
        <w:rPr>
          <w:rFonts w:hint="eastAsia" w:ascii="仿宋" w:hAnsi="仿宋"/>
        </w:rPr>
        <w:t>个工作日内向中国证监会相关派出机构备案，并定期报告相关交易情况。</w:t>
      </w:r>
    </w:p>
    <w:p>
      <w:pPr>
        <w:pStyle w:val="4"/>
        <w:rPr>
          <w:rFonts w:ascii="仿宋" w:hAnsi="仿宋"/>
          <w:szCs w:val="24"/>
        </w:rPr>
      </w:pPr>
      <w:bookmarkStart w:id="166" w:name="_Toc404963371"/>
      <w:bookmarkStart w:id="167" w:name="_Toc445043907"/>
      <w:bookmarkStart w:id="168" w:name="_Toc3896733"/>
      <w:r>
        <w:rPr>
          <w:rFonts w:hint="eastAsia" w:ascii="仿宋" w:hAnsi="仿宋"/>
          <w:szCs w:val="24"/>
        </w:rPr>
        <w:t>（十）《证券期货投资者适当性管理办法》</w:t>
      </w:r>
      <w:bookmarkEnd w:id="166"/>
      <w:bookmarkEnd w:id="167"/>
      <w:bookmarkEnd w:id="168"/>
    </w:p>
    <w:p>
      <w:pPr>
        <w:pStyle w:val="5"/>
      </w:pPr>
      <w:r>
        <w:rPr>
          <w:rFonts w:hint="eastAsia"/>
        </w:rPr>
        <w:t>1、证券期货投资者适当性制度适用范围</w:t>
      </w:r>
    </w:p>
    <w:p>
      <w:pPr>
        <w:spacing w:line="360" w:lineRule="auto"/>
        <w:ind w:firstLine="480" w:firstLineChars="200"/>
        <w:rPr>
          <w:rFonts w:ascii="仿宋" w:hAnsi="仿宋"/>
        </w:rPr>
      </w:pPr>
      <w:r>
        <w:rPr>
          <w:rFonts w:hint="eastAsia" w:ascii="仿宋" w:hAnsi="仿宋"/>
        </w:rPr>
        <w:t>依据：第二条</w:t>
      </w:r>
    </w:p>
    <w:p>
      <w:pPr>
        <w:spacing w:line="360" w:lineRule="auto"/>
        <w:ind w:firstLine="480" w:firstLineChars="200"/>
        <w:rPr>
          <w:rFonts w:ascii="仿宋" w:hAnsi="仿宋"/>
        </w:rPr>
      </w:pPr>
      <w:r>
        <w:rPr>
          <w:rFonts w:hint="eastAsia" w:ascii="仿宋" w:hAnsi="仿宋"/>
        </w:rPr>
        <w:t>第二条 向投资者销售公开或者非公开发行的证券、公开或者非公开募集的证券投资基金和股权投资基金（包括创业投资基金,以下简称基金）、公开或者非公开转让的期货及其他衍生产品，或者为投资者提供相关业务服务的，适用本办法。</w:t>
      </w:r>
    </w:p>
    <w:p>
      <w:pPr>
        <w:pStyle w:val="5"/>
      </w:pPr>
      <w:r>
        <w:rPr>
          <w:rFonts w:hint="eastAsia"/>
        </w:rPr>
        <w:t>2、证券期货投资者适当性制度的基本要求</w:t>
      </w:r>
    </w:p>
    <w:p>
      <w:pPr>
        <w:spacing w:line="360" w:lineRule="auto"/>
        <w:ind w:firstLine="480" w:firstLineChars="200"/>
        <w:rPr>
          <w:rFonts w:ascii="仿宋" w:hAnsi="仿宋"/>
        </w:rPr>
      </w:pPr>
      <w:r>
        <w:rPr>
          <w:rFonts w:hint="eastAsia" w:ascii="仿宋" w:hAnsi="仿宋"/>
        </w:rPr>
        <w:t>依据：第三条</w:t>
      </w:r>
    </w:p>
    <w:p>
      <w:pPr>
        <w:spacing w:line="360" w:lineRule="auto"/>
        <w:ind w:firstLine="480" w:firstLineChars="200"/>
        <w:rPr>
          <w:rFonts w:ascii="仿宋" w:hAnsi="仿宋"/>
        </w:rPr>
      </w:pPr>
      <w:r>
        <w:rPr>
          <w:rFonts w:hint="eastAsia" w:ascii="仿宋" w:hAnsi="仿宋"/>
        </w:rPr>
        <w:t>第三条 向投资者销售证券期货产品或者提供证券期货服务的机构（以下简称经营机构）应当遵守法律、行政法规、本办法及其他有关规定，在销售产品或者提供服务的过程中，勤勉尽责，审慎履职，全面了解投资者情况，深入调查分析产品或者服务信息，科学有效评估，充分揭示风险，基于投资者的不同风险承受能力以及产品或者服务的不同风险等级等因素，提出明确的适当性匹配意见，将适当的产品或者服务销售或者提供给适合的投资者，并对违法违规行为承担法律责任。</w:t>
      </w:r>
    </w:p>
    <w:p>
      <w:pPr>
        <w:pStyle w:val="5"/>
      </w:pPr>
      <w:r>
        <w:rPr>
          <w:rFonts w:hint="eastAsia"/>
        </w:rPr>
        <w:t>3、投资者的类别和普通投资者特别保护要求</w:t>
      </w:r>
    </w:p>
    <w:p>
      <w:pPr>
        <w:spacing w:line="360" w:lineRule="auto"/>
        <w:ind w:firstLine="480" w:firstLineChars="200"/>
        <w:rPr>
          <w:rFonts w:ascii="仿宋" w:hAnsi="仿宋"/>
        </w:rPr>
      </w:pPr>
      <w:r>
        <w:rPr>
          <w:rFonts w:hint="eastAsia" w:ascii="仿宋" w:hAnsi="仿宋"/>
        </w:rPr>
        <w:t>依据：第七条</w:t>
      </w:r>
    </w:p>
    <w:p>
      <w:pPr>
        <w:spacing w:line="360" w:lineRule="auto"/>
        <w:ind w:firstLine="480" w:firstLineChars="200"/>
        <w:rPr>
          <w:rFonts w:ascii="仿宋" w:hAnsi="仿宋"/>
        </w:rPr>
      </w:pPr>
      <w:r>
        <w:rPr>
          <w:rFonts w:hint="eastAsia" w:ascii="仿宋" w:hAnsi="仿宋"/>
        </w:rPr>
        <w:t>第七条 投资者分为普通投资者与专业投资者。普通投资者在信息告知、风险警示、适当性匹配等方面享有特别保护。</w:t>
      </w:r>
    </w:p>
    <w:p>
      <w:pPr>
        <w:pStyle w:val="5"/>
      </w:pPr>
      <w:r>
        <w:rPr>
          <w:rFonts w:hint="eastAsia"/>
        </w:rPr>
        <w:t>4、申请成为专业投资者需要满足的条件和情形</w:t>
      </w:r>
    </w:p>
    <w:p>
      <w:pPr>
        <w:spacing w:line="360" w:lineRule="auto"/>
        <w:ind w:firstLine="480" w:firstLineChars="200"/>
        <w:rPr>
          <w:rFonts w:ascii="仿宋" w:hAnsi="仿宋"/>
        </w:rPr>
      </w:pPr>
      <w:r>
        <w:rPr>
          <w:rFonts w:hint="eastAsia" w:ascii="仿宋" w:hAnsi="仿宋"/>
        </w:rPr>
        <w:t>依据：第八条</w:t>
      </w:r>
    </w:p>
    <w:p>
      <w:pPr>
        <w:spacing w:line="360" w:lineRule="auto"/>
        <w:ind w:firstLine="480" w:firstLineChars="200"/>
        <w:rPr>
          <w:rFonts w:ascii="仿宋" w:hAnsi="仿宋"/>
        </w:rPr>
      </w:pPr>
      <w:r>
        <w:rPr>
          <w:rFonts w:hint="eastAsia" w:ascii="仿宋" w:hAnsi="仿宋"/>
        </w:rPr>
        <w:t>第八条 符合下列条件之一的是专业投资者：</w:t>
      </w:r>
    </w:p>
    <w:p>
      <w:pPr>
        <w:spacing w:line="360" w:lineRule="auto"/>
        <w:ind w:firstLine="480" w:firstLineChars="200"/>
        <w:rPr>
          <w:rFonts w:ascii="仿宋" w:hAnsi="仿宋"/>
        </w:rPr>
      </w:pPr>
      <w:r>
        <w:rPr>
          <w:rFonts w:hint="eastAsia" w:ascii="仿宋" w:hAnsi="仿宋"/>
        </w:rPr>
        <w:t>（一）经有关金融监管部门批准设立的金融机构，包括证券公司、期货公司、基金管理公司及其子公司、商业银行、保险公司、信托公司、财务公司等；经行业协会备案或者登记的证券公司子公司、期货公司子公司、私募基金管理人。</w:t>
      </w:r>
    </w:p>
    <w:p>
      <w:pPr>
        <w:spacing w:line="360" w:lineRule="auto"/>
        <w:ind w:firstLine="480" w:firstLineChars="200"/>
        <w:rPr>
          <w:rFonts w:ascii="仿宋" w:hAnsi="仿宋"/>
        </w:rPr>
      </w:pPr>
      <w:r>
        <w:rPr>
          <w:rFonts w:hint="eastAsia" w:ascii="仿宋" w:hAnsi="仿宋"/>
        </w:rPr>
        <w:t>（二）上述机构面向投资者发行的理财产品，包括但不限于证券公司资产管理产品、基金管理公司及其子公司产品、期货公司资产管理产品、银行理财产品、保险产品、信托产品、经行业协会备案的私募基金。</w:t>
      </w:r>
    </w:p>
    <w:p>
      <w:pPr>
        <w:spacing w:line="360" w:lineRule="auto"/>
        <w:ind w:firstLine="480" w:firstLineChars="200"/>
        <w:rPr>
          <w:rFonts w:ascii="仿宋" w:hAnsi="仿宋"/>
        </w:rPr>
      </w:pPr>
      <w:r>
        <w:rPr>
          <w:rFonts w:hint="eastAsia" w:ascii="仿宋" w:hAnsi="仿宋"/>
        </w:rPr>
        <w:t>（三）社会保障基金、企业年金等养老基金，慈善基金等社会公益基金，合格境外机构投资者（QFII）、人民币合格境外机构投资者（RQFII）。</w:t>
      </w:r>
    </w:p>
    <w:p>
      <w:pPr>
        <w:spacing w:line="360" w:lineRule="auto"/>
        <w:ind w:firstLine="480" w:firstLineChars="200"/>
        <w:rPr>
          <w:rFonts w:ascii="仿宋" w:hAnsi="仿宋"/>
        </w:rPr>
      </w:pPr>
      <w:r>
        <w:rPr>
          <w:rFonts w:hint="eastAsia" w:ascii="仿宋" w:hAnsi="仿宋"/>
        </w:rPr>
        <w:t>（四）同时符合下列条件的法人或者其他组织：</w:t>
      </w:r>
    </w:p>
    <w:p>
      <w:pPr>
        <w:spacing w:line="360" w:lineRule="auto"/>
        <w:ind w:firstLine="480" w:firstLineChars="200"/>
        <w:rPr>
          <w:rFonts w:ascii="仿宋" w:hAnsi="仿宋"/>
        </w:rPr>
      </w:pPr>
      <w:r>
        <w:rPr>
          <w:rFonts w:hint="eastAsia" w:ascii="仿宋" w:hAnsi="仿宋"/>
        </w:rPr>
        <w:t>1.最近1 年末净资产不低于2000 万元；</w:t>
      </w:r>
    </w:p>
    <w:p>
      <w:pPr>
        <w:spacing w:line="360" w:lineRule="auto"/>
        <w:ind w:firstLine="480" w:firstLineChars="200"/>
        <w:rPr>
          <w:rFonts w:ascii="仿宋" w:hAnsi="仿宋"/>
        </w:rPr>
      </w:pPr>
      <w:r>
        <w:rPr>
          <w:rFonts w:hint="eastAsia" w:ascii="仿宋" w:hAnsi="仿宋"/>
        </w:rPr>
        <w:t>2.最近1 年末金融资产不低于1000 万元；</w:t>
      </w:r>
    </w:p>
    <w:p>
      <w:pPr>
        <w:spacing w:line="360" w:lineRule="auto"/>
        <w:ind w:firstLine="480" w:firstLineChars="200"/>
        <w:rPr>
          <w:rFonts w:ascii="仿宋" w:hAnsi="仿宋"/>
        </w:rPr>
      </w:pPr>
      <w:r>
        <w:rPr>
          <w:rFonts w:hint="eastAsia" w:ascii="仿宋" w:hAnsi="仿宋"/>
        </w:rPr>
        <w:t>3.具有2 年以上证券、基金、期货、黄金、外汇等投资经历。</w:t>
      </w:r>
    </w:p>
    <w:p>
      <w:pPr>
        <w:spacing w:line="360" w:lineRule="auto"/>
        <w:ind w:firstLine="480" w:firstLineChars="200"/>
        <w:rPr>
          <w:rFonts w:ascii="仿宋" w:hAnsi="仿宋"/>
        </w:rPr>
      </w:pPr>
      <w:r>
        <w:rPr>
          <w:rFonts w:hint="eastAsia" w:ascii="仿宋" w:hAnsi="仿宋"/>
        </w:rPr>
        <w:t>（五）同时符合下列条件的自然人：</w:t>
      </w:r>
    </w:p>
    <w:p>
      <w:pPr>
        <w:spacing w:line="360" w:lineRule="auto"/>
        <w:ind w:firstLine="480" w:firstLineChars="200"/>
        <w:rPr>
          <w:rFonts w:ascii="仿宋" w:hAnsi="仿宋"/>
        </w:rPr>
      </w:pPr>
      <w:r>
        <w:rPr>
          <w:rFonts w:hint="eastAsia" w:ascii="仿宋" w:hAnsi="仿宋"/>
        </w:rPr>
        <w:t>1.金融资产不低于500 万元，或者最近3 年个人年均收入不低于50 万元；</w:t>
      </w:r>
    </w:p>
    <w:p>
      <w:pPr>
        <w:spacing w:line="360" w:lineRule="auto"/>
        <w:ind w:firstLine="480" w:firstLineChars="200"/>
        <w:rPr>
          <w:rFonts w:ascii="仿宋" w:hAnsi="仿宋"/>
        </w:rPr>
      </w:pPr>
      <w:r>
        <w:rPr>
          <w:rFonts w:hint="eastAsia" w:ascii="仿宋" w:hAnsi="仿宋"/>
        </w:rPr>
        <w:t>2.具有2 年以上证券、基金、期货、黄金、外汇等投资经历，或者具有2 年以上金融产品设计、投资、风险管理及相关工作经历，或者属于本条第（一）项规定的专业投资者的高级管理人员、获得职业资格认证的从事金融相关业务的注册会计师和律师。</w:t>
      </w:r>
    </w:p>
    <w:p>
      <w:pPr>
        <w:spacing w:line="360" w:lineRule="auto"/>
        <w:ind w:firstLine="480" w:firstLineChars="200"/>
        <w:rPr>
          <w:rFonts w:ascii="仿宋" w:hAnsi="仿宋"/>
        </w:rPr>
      </w:pPr>
      <w:r>
        <w:rPr>
          <w:rFonts w:hint="eastAsia" w:ascii="仿宋" w:hAnsi="仿宋"/>
        </w:rPr>
        <w:t>前款所称金融资产，是指银行存款、股票、债券、基金份额、资产管理计划、银行理财产品、信托计划、保险产品、期货及其他衍生产品等。</w:t>
      </w:r>
    </w:p>
    <w:p>
      <w:pPr>
        <w:spacing w:line="360" w:lineRule="auto"/>
        <w:ind w:firstLine="480" w:firstLineChars="200"/>
        <w:rPr>
          <w:rFonts w:ascii="仿宋" w:hAnsi="仿宋"/>
        </w:rPr>
      </w:pPr>
    </w:p>
    <w:p>
      <w:pPr>
        <w:pStyle w:val="5"/>
      </w:pPr>
      <w:r>
        <w:rPr>
          <w:rFonts w:hint="eastAsia"/>
        </w:rPr>
        <w:t>5、普通投资者和专业投资者在一定条件下可以互相转化</w:t>
      </w:r>
    </w:p>
    <w:p>
      <w:pPr>
        <w:spacing w:line="360" w:lineRule="auto"/>
        <w:ind w:firstLine="480" w:firstLineChars="200"/>
        <w:rPr>
          <w:rFonts w:ascii="仿宋" w:hAnsi="仿宋"/>
        </w:rPr>
      </w:pPr>
      <w:r>
        <w:rPr>
          <w:rFonts w:hint="eastAsia" w:ascii="仿宋" w:hAnsi="仿宋"/>
        </w:rPr>
        <w:t xml:space="preserve">依据：第十一条  </w:t>
      </w:r>
    </w:p>
    <w:p>
      <w:pPr>
        <w:spacing w:line="360" w:lineRule="auto"/>
        <w:ind w:firstLine="480" w:firstLineChars="200"/>
        <w:rPr>
          <w:rFonts w:ascii="仿宋" w:hAnsi="仿宋"/>
        </w:rPr>
      </w:pPr>
      <w:r>
        <w:rPr>
          <w:rFonts w:hint="eastAsia" w:ascii="仿宋" w:hAnsi="仿宋"/>
        </w:rPr>
        <w:t>第十一条 普通投资者和专业投资者在一定条件下可以互相转化。</w:t>
      </w:r>
    </w:p>
    <w:p>
      <w:pPr>
        <w:pStyle w:val="5"/>
      </w:pPr>
      <w:r>
        <w:rPr>
          <w:rFonts w:hint="eastAsia"/>
        </w:rPr>
        <w:t>6、经营机构应对投资者和产品或服务的适当性匹配作出判断</w:t>
      </w:r>
    </w:p>
    <w:p>
      <w:pPr>
        <w:spacing w:line="360" w:lineRule="auto"/>
        <w:ind w:firstLine="480" w:firstLineChars="200"/>
        <w:rPr>
          <w:rFonts w:ascii="仿宋" w:hAnsi="仿宋"/>
        </w:rPr>
      </w:pPr>
      <w:r>
        <w:rPr>
          <w:rFonts w:hint="eastAsia" w:ascii="仿宋" w:hAnsi="仿宋"/>
        </w:rPr>
        <w:t xml:space="preserve">依据：第十八条  </w:t>
      </w:r>
    </w:p>
    <w:p>
      <w:pPr>
        <w:spacing w:line="360" w:lineRule="auto"/>
        <w:ind w:firstLine="480" w:firstLineChars="200"/>
        <w:rPr>
          <w:rFonts w:ascii="仿宋" w:hAnsi="仿宋"/>
        </w:rPr>
      </w:pPr>
      <w:r>
        <w:rPr>
          <w:rFonts w:hint="eastAsia" w:ascii="仿宋" w:hAnsi="仿宋"/>
        </w:rPr>
        <w:t>第十八条 经营机构应当根据产品或者服务的不同风险等级，对其适合销售产品或者提供服务的投资者类型作出判断，根据投资者的不同分类，对其适合购买的产品或者接受的服务作出判断。</w:t>
      </w:r>
    </w:p>
    <w:p>
      <w:pPr>
        <w:pStyle w:val="5"/>
      </w:pPr>
      <w:r>
        <w:rPr>
          <w:rFonts w:hint="eastAsia"/>
        </w:rPr>
        <w:t>7、禁止经营机构进行销售产品或者提供服务的活动的情形</w:t>
      </w:r>
    </w:p>
    <w:p>
      <w:pPr>
        <w:autoSpaceDE w:val="0"/>
        <w:autoSpaceDN w:val="0"/>
        <w:adjustRightInd w:val="0"/>
        <w:jc w:val="left"/>
        <w:rPr>
          <w:rFonts w:ascii="仿宋" w:hAnsi="仿宋"/>
        </w:rPr>
      </w:pPr>
      <w:r>
        <w:rPr>
          <w:rFonts w:hint="eastAsia" w:ascii="仿宋" w:hAnsi="仿宋"/>
        </w:rPr>
        <w:tab/>
      </w:r>
      <w:r>
        <w:rPr>
          <w:rFonts w:hint="eastAsia" w:ascii="仿宋" w:hAnsi="仿宋"/>
        </w:rPr>
        <w:t>依据：第二十二条</w:t>
      </w:r>
    </w:p>
    <w:p>
      <w:pPr>
        <w:spacing w:line="360" w:lineRule="auto"/>
        <w:ind w:firstLine="480" w:firstLineChars="200"/>
        <w:rPr>
          <w:rFonts w:ascii="仿宋" w:hAnsi="仿宋"/>
        </w:rPr>
      </w:pPr>
      <w:r>
        <w:rPr>
          <w:rFonts w:hint="eastAsia" w:ascii="仿宋" w:hAnsi="仿宋"/>
        </w:rPr>
        <w:t>第二十二条 禁止经营机构进行下列销售产品或者提供服务的活动：</w:t>
      </w:r>
    </w:p>
    <w:p>
      <w:pPr>
        <w:spacing w:line="360" w:lineRule="auto"/>
        <w:ind w:firstLine="480" w:firstLineChars="200"/>
        <w:rPr>
          <w:rFonts w:ascii="仿宋" w:hAnsi="仿宋"/>
        </w:rPr>
      </w:pPr>
      <w:r>
        <w:rPr>
          <w:rFonts w:hint="eastAsia" w:ascii="仿宋" w:hAnsi="仿宋"/>
        </w:rPr>
        <w:t>（一）向不符合准入要求的投资者销售产品或者提供服务；</w:t>
      </w:r>
    </w:p>
    <w:p>
      <w:pPr>
        <w:spacing w:line="360" w:lineRule="auto"/>
        <w:ind w:firstLine="480" w:firstLineChars="200"/>
        <w:rPr>
          <w:rFonts w:ascii="仿宋" w:hAnsi="仿宋"/>
        </w:rPr>
      </w:pPr>
      <w:r>
        <w:rPr>
          <w:rFonts w:hint="eastAsia" w:ascii="仿宋" w:hAnsi="仿宋"/>
        </w:rPr>
        <w:t>（二）向投资者就不确定事项提供确定性的判断，或者告知投资者有可能使其误认为具有确定性的意见；</w:t>
      </w:r>
    </w:p>
    <w:p>
      <w:pPr>
        <w:spacing w:line="360" w:lineRule="auto"/>
        <w:ind w:firstLine="480" w:firstLineChars="200"/>
        <w:rPr>
          <w:rFonts w:ascii="仿宋" w:hAnsi="仿宋"/>
        </w:rPr>
      </w:pPr>
      <w:r>
        <w:rPr>
          <w:rFonts w:hint="eastAsia" w:ascii="仿宋" w:hAnsi="仿宋"/>
        </w:rPr>
        <w:t>（三）向普通投资者主动推介风险等级高于其风险承受能力的产品或者服务；</w:t>
      </w:r>
    </w:p>
    <w:p>
      <w:pPr>
        <w:spacing w:line="360" w:lineRule="auto"/>
        <w:ind w:firstLine="480" w:firstLineChars="200"/>
        <w:rPr>
          <w:rFonts w:ascii="仿宋" w:hAnsi="仿宋"/>
        </w:rPr>
      </w:pPr>
      <w:r>
        <w:rPr>
          <w:rFonts w:hint="eastAsia" w:ascii="仿宋" w:hAnsi="仿宋"/>
        </w:rPr>
        <w:t>（四）向普通投资者主动推介不符合其投资目标的产品或者服务；</w:t>
      </w:r>
    </w:p>
    <w:p>
      <w:pPr>
        <w:spacing w:line="360" w:lineRule="auto"/>
        <w:ind w:firstLine="480" w:firstLineChars="200"/>
        <w:rPr>
          <w:rFonts w:ascii="仿宋" w:hAnsi="仿宋"/>
        </w:rPr>
      </w:pPr>
      <w:r>
        <w:rPr>
          <w:rFonts w:hint="eastAsia" w:ascii="仿宋" w:hAnsi="仿宋"/>
        </w:rPr>
        <w:t>（五）向风险承受能力最低类别的投资者销售或者提供风险等级高于其风险承受能力的产品或者服务；</w:t>
      </w:r>
    </w:p>
    <w:p>
      <w:pPr>
        <w:spacing w:line="360" w:lineRule="auto"/>
        <w:ind w:firstLine="480" w:firstLineChars="200"/>
        <w:rPr>
          <w:rFonts w:ascii="仿宋" w:hAnsi="仿宋"/>
        </w:rPr>
      </w:pPr>
      <w:r>
        <w:rPr>
          <w:rFonts w:hint="eastAsia" w:ascii="仿宋" w:hAnsi="仿宋"/>
        </w:rPr>
        <w:t>（六）其他违背适当性要求，损害投资者合法权益的行为。</w:t>
      </w:r>
    </w:p>
    <w:p>
      <w:pPr>
        <w:pStyle w:val="5"/>
      </w:pPr>
      <w:r>
        <w:rPr>
          <w:rFonts w:hint="eastAsia"/>
        </w:rPr>
        <w:t>8、经营机构适当性内部管理制度要求及自查要求</w:t>
      </w:r>
    </w:p>
    <w:p>
      <w:pPr>
        <w:spacing w:line="360" w:lineRule="auto"/>
        <w:ind w:firstLine="480" w:firstLineChars="200"/>
        <w:rPr>
          <w:rFonts w:ascii="仿宋" w:hAnsi="仿宋"/>
        </w:rPr>
      </w:pPr>
      <w:r>
        <w:rPr>
          <w:rFonts w:hint="eastAsia" w:ascii="仿宋" w:hAnsi="仿宋"/>
        </w:rPr>
        <w:t>依据：第二十九条、第三十条</w:t>
      </w:r>
    </w:p>
    <w:p>
      <w:pPr>
        <w:spacing w:line="360" w:lineRule="auto"/>
        <w:ind w:firstLine="480" w:firstLineChars="200"/>
        <w:rPr>
          <w:rFonts w:ascii="仿宋" w:hAnsi="仿宋"/>
        </w:rPr>
      </w:pPr>
      <w:r>
        <w:rPr>
          <w:rFonts w:hint="eastAsia" w:ascii="仿宋" w:hAnsi="仿宋"/>
        </w:rPr>
        <w:t>第二十九条 经营机构应当制定适当性内部管理制度，明确投资者分类、产品或者服务分级、适当性匹配的具体依据、方法、流程等，严格按照内部管理制度进行分类、分级，定期汇总分类、分级结果，并对每名投资者提出匹配意见。</w:t>
      </w:r>
    </w:p>
    <w:p>
      <w:pPr>
        <w:spacing w:line="360" w:lineRule="auto"/>
        <w:ind w:firstLine="480" w:firstLineChars="200"/>
        <w:rPr>
          <w:rFonts w:ascii="仿宋" w:hAnsi="仿宋"/>
        </w:rPr>
      </w:pPr>
      <w:r>
        <w:rPr>
          <w:rFonts w:hint="eastAsia" w:ascii="仿宋" w:hAnsi="仿宋"/>
        </w:rPr>
        <w:t>经营机构应当制定并严格落实与适当性内部管理有关的限制不匹配销售行为、客户回访检查、评估与销售隔离等风控制度，以及培训考核、执业规范、监督问责等制度机制，不得采取鼓励不适当销售的考核激励措施，确保从业人员切实履行适当性义务。</w:t>
      </w:r>
    </w:p>
    <w:p>
      <w:pPr>
        <w:spacing w:line="360" w:lineRule="auto"/>
        <w:ind w:firstLine="480" w:firstLineChars="200"/>
        <w:rPr>
          <w:rFonts w:ascii="仿宋" w:hAnsi="仿宋"/>
        </w:rPr>
      </w:pPr>
      <w:r>
        <w:rPr>
          <w:rFonts w:hint="eastAsia" w:ascii="仿宋" w:hAnsi="仿宋"/>
        </w:rPr>
        <w:t>第三十条 经营机构应当每半年开展一次适当性自查，形成自查报告。发现违反本办法规定的问题，应当及时处理并主动报告住所地中国证监会派出机构。</w:t>
      </w:r>
    </w:p>
    <w:p>
      <w:pPr>
        <w:spacing w:line="360" w:lineRule="auto"/>
        <w:ind w:firstLine="480" w:firstLineChars="200"/>
        <w:rPr>
          <w:rFonts w:ascii="仿宋" w:hAnsi="仿宋"/>
        </w:rPr>
      </w:pPr>
    </w:p>
    <w:p>
      <w:pPr>
        <w:pStyle w:val="4"/>
        <w:rPr>
          <w:rFonts w:ascii="仿宋" w:hAnsi="仿宋"/>
          <w:szCs w:val="24"/>
        </w:rPr>
      </w:pPr>
      <w:bookmarkStart w:id="169" w:name="_Toc404963372"/>
      <w:bookmarkStart w:id="170" w:name="_Toc445043908"/>
      <w:bookmarkStart w:id="171" w:name="_Toc3896734"/>
      <w:r>
        <w:rPr>
          <w:rFonts w:hint="eastAsia" w:ascii="仿宋" w:hAnsi="仿宋"/>
          <w:szCs w:val="24"/>
        </w:rPr>
        <w:t>（十一）《证券公司为期货公司提供中间介绍业务试行办法》</w:t>
      </w:r>
      <w:bookmarkEnd w:id="169"/>
      <w:bookmarkEnd w:id="170"/>
      <w:bookmarkEnd w:id="171"/>
    </w:p>
    <w:p>
      <w:pPr>
        <w:pStyle w:val="5"/>
      </w:pPr>
      <w:r>
        <w:rPr>
          <w:rFonts w:hint="eastAsia"/>
        </w:rPr>
        <w:t>1、从事介绍业务应当签订书面委托协议</w:t>
      </w:r>
    </w:p>
    <w:p>
      <w:pPr>
        <w:spacing w:line="360" w:lineRule="auto"/>
        <w:ind w:firstLine="480" w:firstLineChars="200"/>
        <w:rPr>
          <w:rFonts w:ascii="仿宋" w:hAnsi="仿宋"/>
        </w:rPr>
      </w:pPr>
      <w:r>
        <w:rPr>
          <w:rFonts w:hint="eastAsia" w:ascii="仿宋" w:hAnsi="仿宋"/>
        </w:rPr>
        <w:t>依据：第十条</w:t>
      </w:r>
    </w:p>
    <w:p>
      <w:pPr>
        <w:spacing w:line="360" w:lineRule="auto"/>
        <w:ind w:firstLine="480" w:firstLineChars="200"/>
        <w:rPr>
          <w:rFonts w:ascii="仿宋" w:hAnsi="仿宋"/>
        </w:rPr>
      </w:pPr>
      <w:r>
        <w:rPr>
          <w:rFonts w:hint="eastAsia" w:ascii="仿宋" w:hAnsi="仿宋"/>
        </w:rPr>
        <w:t>第十条</w:t>
      </w:r>
      <w:r>
        <w:rPr>
          <w:rFonts w:ascii="仿宋" w:hAnsi="仿宋"/>
        </w:rPr>
        <w:t xml:space="preserve"> </w:t>
      </w:r>
      <w:r>
        <w:rPr>
          <w:rFonts w:hint="eastAsia" w:ascii="仿宋" w:hAnsi="仿宋"/>
        </w:rPr>
        <w:t>证券公司从事介绍业务，应当与期货公司签订书面委托协议。委托协议应当载明下列事项：</w:t>
      </w:r>
    </w:p>
    <w:p>
      <w:pPr>
        <w:spacing w:line="360" w:lineRule="auto"/>
        <w:ind w:firstLine="480" w:firstLineChars="200"/>
        <w:rPr>
          <w:rFonts w:ascii="仿宋" w:hAnsi="仿宋"/>
        </w:rPr>
      </w:pPr>
      <w:r>
        <w:rPr>
          <w:rFonts w:hint="eastAsia" w:ascii="仿宋" w:hAnsi="仿宋"/>
        </w:rPr>
        <w:t>（一）介绍业务的范围；</w:t>
      </w:r>
    </w:p>
    <w:p>
      <w:pPr>
        <w:spacing w:line="360" w:lineRule="auto"/>
        <w:ind w:firstLine="480" w:firstLineChars="200"/>
        <w:rPr>
          <w:rFonts w:ascii="仿宋" w:hAnsi="仿宋"/>
        </w:rPr>
      </w:pPr>
      <w:r>
        <w:rPr>
          <w:rFonts w:hint="eastAsia" w:ascii="仿宋" w:hAnsi="仿宋"/>
        </w:rPr>
        <w:t>（二）执行期货保证金安全存管制度的措施；</w:t>
      </w:r>
    </w:p>
    <w:p>
      <w:pPr>
        <w:spacing w:line="360" w:lineRule="auto"/>
        <w:ind w:firstLine="480" w:firstLineChars="200"/>
        <w:rPr>
          <w:rFonts w:ascii="仿宋" w:hAnsi="仿宋"/>
        </w:rPr>
      </w:pPr>
      <w:r>
        <w:rPr>
          <w:rFonts w:hint="eastAsia" w:ascii="仿宋" w:hAnsi="仿宋"/>
        </w:rPr>
        <w:t>（三）介绍业务对接规则；</w:t>
      </w:r>
    </w:p>
    <w:p>
      <w:pPr>
        <w:spacing w:line="360" w:lineRule="auto"/>
        <w:ind w:firstLine="480" w:firstLineChars="200"/>
        <w:rPr>
          <w:rFonts w:ascii="仿宋" w:hAnsi="仿宋"/>
        </w:rPr>
      </w:pPr>
      <w:r>
        <w:rPr>
          <w:rFonts w:hint="eastAsia" w:ascii="仿宋" w:hAnsi="仿宋"/>
        </w:rPr>
        <w:t>（四）客户投诉的接待处理方式；</w:t>
      </w:r>
    </w:p>
    <w:p>
      <w:pPr>
        <w:spacing w:line="360" w:lineRule="auto"/>
        <w:ind w:firstLine="480" w:firstLineChars="200"/>
        <w:rPr>
          <w:rFonts w:ascii="仿宋" w:hAnsi="仿宋"/>
        </w:rPr>
      </w:pPr>
      <w:r>
        <w:rPr>
          <w:rFonts w:hint="eastAsia" w:ascii="仿宋" w:hAnsi="仿宋"/>
        </w:rPr>
        <w:t>（五）报酬支付及相关费用的分担方式；</w:t>
      </w:r>
    </w:p>
    <w:p>
      <w:pPr>
        <w:spacing w:line="360" w:lineRule="auto"/>
        <w:ind w:firstLine="480" w:firstLineChars="200"/>
        <w:rPr>
          <w:rFonts w:ascii="仿宋" w:hAnsi="仿宋"/>
        </w:rPr>
      </w:pPr>
      <w:r>
        <w:rPr>
          <w:rFonts w:hint="eastAsia" w:ascii="仿宋" w:hAnsi="仿宋"/>
        </w:rPr>
        <w:t>（六）违约责任；</w:t>
      </w:r>
    </w:p>
    <w:p>
      <w:pPr>
        <w:spacing w:line="360" w:lineRule="auto"/>
        <w:ind w:firstLine="480" w:firstLineChars="200"/>
        <w:rPr>
          <w:rFonts w:ascii="仿宋" w:hAnsi="仿宋"/>
        </w:rPr>
      </w:pPr>
      <w:r>
        <w:rPr>
          <w:rFonts w:hint="eastAsia" w:ascii="仿宋" w:hAnsi="仿宋"/>
        </w:rPr>
        <w:t>（七）中国证监会规定的其他事项。</w:t>
      </w:r>
    </w:p>
    <w:p>
      <w:pPr>
        <w:spacing w:line="360" w:lineRule="auto"/>
        <w:ind w:firstLine="480" w:firstLineChars="200"/>
        <w:rPr>
          <w:rFonts w:ascii="仿宋" w:hAnsi="仿宋"/>
        </w:rPr>
      </w:pPr>
      <w:r>
        <w:rPr>
          <w:rFonts w:hint="eastAsia" w:ascii="仿宋" w:hAnsi="仿宋"/>
        </w:rPr>
        <w:t>双方可以在委托协议中约定前款规定以外的其他事项，但不得违反法律、行政法规和本办法的规定，不得损害客户的合法权益。</w:t>
      </w:r>
    </w:p>
    <w:p>
      <w:pPr>
        <w:spacing w:line="360" w:lineRule="auto"/>
        <w:ind w:firstLine="480" w:firstLineChars="200"/>
        <w:rPr>
          <w:rFonts w:ascii="仿宋" w:hAnsi="仿宋"/>
        </w:rPr>
      </w:pPr>
      <w:r>
        <w:rPr>
          <w:rFonts w:hint="eastAsia" w:ascii="仿宋" w:hAnsi="仿宋"/>
        </w:rPr>
        <w:t>证券公司按照委托协议对期货公司承担介绍业务委托责任。基于期货经纪合同的责任由期货公司直接对客户承担。</w:t>
      </w:r>
    </w:p>
    <w:p>
      <w:pPr>
        <w:pStyle w:val="5"/>
      </w:pPr>
      <w:r>
        <w:rPr>
          <w:rFonts w:hint="eastAsia"/>
        </w:rPr>
        <w:t>2、委托协议备案要求</w:t>
      </w:r>
    </w:p>
    <w:p>
      <w:pPr>
        <w:spacing w:line="360" w:lineRule="auto"/>
        <w:ind w:firstLine="480" w:firstLineChars="200"/>
        <w:rPr>
          <w:rFonts w:ascii="仿宋" w:hAnsi="仿宋"/>
        </w:rPr>
      </w:pPr>
      <w:r>
        <w:rPr>
          <w:rFonts w:hint="eastAsia" w:ascii="仿宋" w:hAnsi="仿宋"/>
        </w:rPr>
        <w:t>依据：第十一条</w:t>
      </w:r>
    </w:p>
    <w:p>
      <w:pPr>
        <w:spacing w:line="360" w:lineRule="auto"/>
        <w:ind w:firstLine="480" w:firstLineChars="200"/>
        <w:rPr>
          <w:rFonts w:ascii="仿宋" w:hAnsi="仿宋"/>
        </w:rPr>
      </w:pPr>
      <w:r>
        <w:rPr>
          <w:rFonts w:hint="eastAsia" w:ascii="仿宋" w:hAnsi="仿宋"/>
        </w:rPr>
        <w:t>第十一条</w:t>
      </w:r>
      <w:r>
        <w:rPr>
          <w:rFonts w:ascii="仿宋" w:hAnsi="仿宋"/>
        </w:rPr>
        <w:t xml:space="preserve"> </w:t>
      </w:r>
      <w:r>
        <w:rPr>
          <w:rFonts w:hint="eastAsia" w:ascii="仿宋" w:hAnsi="仿宋"/>
        </w:rPr>
        <w:t>证券公司与期货公司签订、变更或者终止委托协议的，双方应当在</w:t>
      </w:r>
      <w:r>
        <w:rPr>
          <w:rFonts w:ascii="仿宋" w:hAnsi="仿宋"/>
        </w:rPr>
        <w:t>5</w:t>
      </w:r>
      <w:r>
        <w:rPr>
          <w:rFonts w:hint="eastAsia" w:ascii="仿宋" w:hAnsi="仿宋"/>
        </w:rPr>
        <w:t>个工作日内报各自所在地的中国证监会派出机构备案。</w:t>
      </w:r>
    </w:p>
    <w:p>
      <w:pPr>
        <w:spacing w:line="360" w:lineRule="auto"/>
        <w:ind w:firstLine="480" w:firstLineChars="200"/>
        <w:rPr>
          <w:rFonts w:ascii="仿宋" w:hAnsi="仿宋"/>
        </w:rPr>
      </w:pPr>
    </w:p>
    <w:p>
      <w:pPr>
        <w:pStyle w:val="4"/>
        <w:rPr>
          <w:rFonts w:ascii="仿宋" w:hAnsi="仿宋"/>
          <w:szCs w:val="24"/>
        </w:rPr>
      </w:pPr>
      <w:bookmarkStart w:id="172" w:name="_Toc404963373"/>
      <w:bookmarkStart w:id="173" w:name="_Toc445043909"/>
      <w:bookmarkStart w:id="174" w:name="_Toc3896735"/>
      <w:r>
        <w:rPr>
          <w:rFonts w:hint="eastAsia" w:ascii="仿宋" w:hAnsi="仿宋"/>
          <w:szCs w:val="24"/>
        </w:rPr>
        <w:t>（十二）《期货投资者保障基金管理办法》</w:t>
      </w:r>
      <w:bookmarkEnd w:id="172"/>
      <w:bookmarkEnd w:id="173"/>
      <w:bookmarkEnd w:id="174"/>
    </w:p>
    <w:p>
      <w:pPr>
        <w:pStyle w:val="5"/>
      </w:pPr>
      <w:r>
        <w:rPr>
          <w:rFonts w:hint="eastAsia"/>
        </w:rPr>
        <w:t>1、保障基金的用途</w:t>
      </w:r>
    </w:p>
    <w:p>
      <w:pPr>
        <w:spacing w:line="360" w:lineRule="auto"/>
        <w:ind w:firstLine="480" w:firstLineChars="200"/>
        <w:rPr>
          <w:rFonts w:ascii="仿宋" w:hAnsi="仿宋"/>
        </w:rPr>
      </w:pPr>
      <w:r>
        <w:rPr>
          <w:rFonts w:hint="eastAsia" w:ascii="仿宋" w:hAnsi="仿宋"/>
        </w:rPr>
        <w:t>在期货公司严重违法违规或者风险控制不力等导致保证金出现缺口，可能严重危及社会稳定和期货市场安全时，用于补偿投资者保证金损失。</w:t>
      </w:r>
    </w:p>
    <w:p>
      <w:pPr>
        <w:spacing w:line="360" w:lineRule="auto"/>
        <w:ind w:firstLine="480" w:firstLineChars="200"/>
        <w:rPr>
          <w:rFonts w:ascii="仿宋" w:hAnsi="仿宋"/>
        </w:rPr>
      </w:pPr>
      <w:r>
        <w:rPr>
          <w:rFonts w:hint="eastAsia" w:ascii="仿宋" w:hAnsi="仿宋"/>
        </w:rPr>
        <w:t>依据：第二条</w:t>
      </w:r>
    </w:p>
    <w:p>
      <w:pPr>
        <w:spacing w:line="360" w:lineRule="auto"/>
        <w:ind w:firstLine="480" w:firstLineChars="200"/>
        <w:rPr>
          <w:rFonts w:ascii="仿宋" w:hAnsi="仿宋"/>
        </w:rPr>
      </w:pPr>
      <w:r>
        <w:rPr>
          <w:rFonts w:hint="eastAsia" w:ascii="仿宋" w:hAnsi="仿宋"/>
        </w:rPr>
        <w:t>第二条</w:t>
      </w:r>
      <w:r>
        <w:rPr>
          <w:rFonts w:ascii="仿宋" w:hAnsi="仿宋"/>
        </w:rPr>
        <w:t xml:space="preserve"> </w:t>
      </w:r>
      <w:r>
        <w:rPr>
          <w:rFonts w:hint="eastAsia" w:ascii="仿宋" w:hAnsi="仿宋"/>
        </w:rPr>
        <w:t>期货投资者保障基金（以下简称保障基金）是在期货公司严重违法违规或者风险控制不力等导致保证金出现缺口，可能严重危及社会稳定和期货市场安全时，补偿投资者保证金损失的专项基金。</w:t>
      </w:r>
      <w:r>
        <w:rPr>
          <w:rFonts w:ascii="仿宋" w:hAnsi="仿宋"/>
        </w:rPr>
        <w:t xml:space="preserve"> </w:t>
      </w:r>
    </w:p>
    <w:p>
      <w:pPr>
        <w:pStyle w:val="5"/>
      </w:pPr>
      <w:r>
        <w:rPr>
          <w:rFonts w:hint="eastAsia"/>
        </w:rPr>
        <w:t>2、期货公司使用保障基金的前置程序</w:t>
      </w:r>
    </w:p>
    <w:p>
      <w:pPr>
        <w:spacing w:line="360" w:lineRule="auto"/>
        <w:ind w:firstLine="480" w:firstLineChars="200"/>
        <w:rPr>
          <w:rFonts w:ascii="仿宋" w:hAnsi="仿宋"/>
          <w:b/>
        </w:rPr>
      </w:pPr>
      <w:r>
        <w:rPr>
          <w:rFonts w:hint="eastAsia" w:ascii="仿宋" w:hAnsi="仿宋"/>
        </w:rPr>
        <w:t>使用保障基金前，期货公司应当核实投资者保证金权益及损失，积极清理资产并变现处置，应当先以自有资金和变现资产弥补保证金缺口。</w:t>
      </w:r>
    </w:p>
    <w:p>
      <w:pPr>
        <w:spacing w:line="360" w:lineRule="auto"/>
        <w:ind w:firstLine="480" w:firstLineChars="200"/>
        <w:rPr>
          <w:rFonts w:ascii="仿宋" w:hAnsi="仿宋"/>
        </w:rPr>
      </w:pPr>
      <w:r>
        <w:rPr>
          <w:rFonts w:hint="eastAsia" w:ascii="仿宋" w:hAnsi="仿宋"/>
        </w:rPr>
        <w:t>依据：第二十一条</w:t>
      </w:r>
    </w:p>
    <w:p>
      <w:pPr>
        <w:spacing w:line="360" w:lineRule="auto"/>
        <w:ind w:firstLine="480" w:firstLineChars="200"/>
        <w:rPr>
          <w:rFonts w:ascii="仿宋" w:hAnsi="仿宋" w:cs="宋体"/>
          <w:kern w:val="0"/>
        </w:rPr>
      </w:pPr>
      <w:r>
        <w:rPr>
          <w:rFonts w:hint="eastAsia" w:ascii="仿宋" w:hAnsi="仿宋"/>
        </w:rPr>
        <w:t>第二十一条</w:t>
      </w:r>
      <w:r>
        <w:rPr>
          <w:rFonts w:ascii="仿宋" w:hAnsi="仿宋"/>
        </w:rPr>
        <w:t xml:space="preserve"> </w:t>
      </w:r>
      <w:r>
        <w:rPr>
          <w:rFonts w:hint="eastAsia" w:ascii="仿宋" w:hAnsi="仿宋"/>
        </w:rPr>
        <w:t>使用保障基金前，中国证监会和保障基金管理机构应当监督期货公司核实投资者保证金权益及损失，积极清理资产并变现处置，应当先以自有资金和变现资产弥补保证金缺口。不足弥补或者情况危急的，方能决定使用保障基金。</w:t>
      </w:r>
      <w:r>
        <w:rPr>
          <w:rFonts w:ascii="仿宋" w:hAnsi="仿宋" w:cs="宋体"/>
          <w:kern w:val="0"/>
        </w:rPr>
        <w:t xml:space="preserve"> </w:t>
      </w:r>
    </w:p>
    <w:p>
      <w:pPr>
        <w:pStyle w:val="5"/>
      </w:pPr>
      <w:r>
        <w:rPr>
          <w:rFonts w:hint="eastAsia"/>
        </w:rPr>
        <w:t>3、期货公司因严重违法违规或者风险控制不力等导致保证金出现缺口后面临的罚则</w:t>
      </w:r>
    </w:p>
    <w:p>
      <w:pPr>
        <w:spacing w:line="360" w:lineRule="auto"/>
        <w:ind w:firstLine="480" w:firstLineChars="200"/>
        <w:rPr>
          <w:rFonts w:ascii="仿宋" w:hAnsi="仿宋"/>
          <w:b/>
        </w:rPr>
      </w:pPr>
      <w:r>
        <w:rPr>
          <w:rFonts w:hint="eastAsia" w:ascii="仿宋" w:hAnsi="仿宋"/>
        </w:rPr>
        <w:t>吊销期货业务许可证</w:t>
      </w:r>
    </w:p>
    <w:p>
      <w:pPr>
        <w:spacing w:line="360" w:lineRule="auto"/>
        <w:ind w:firstLine="480" w:firstLineChars="200"/>
        <w:rPr>
          <w:rFonts w:ascii="仿宋" w:hAnsi="仿宋"/>
          <w:b/>
        </w:rPr>
      </w:pPr>
      <w:r>
        <w:rPr>
          <w:rFonts w:hint="eastAsia" w:ascii="仿宋" w:hAnsi="仿宋"/>
        </w:rPr>
        <w:t>依据：第二十五条</w:t>
      </w:r>
    </w:p>
    <w:p>
      <w:pPr>
        <w:spacing w:line="360" w:lineRule="auto"/>
        <w:ind w:firstLine="480" w:firstLineChars="200"/>
        <w:rPr>
          <w:rFonts w:ascii="仿宋" w:hAnsi="仿宋"/>
        </w:rPr>
      </w:pPr>
      <w:r>
        <w:rPr>
          <w:rFonts w:hint="eastAsia" w:ascii="仿宋" w:hAnsi="仿宋"/>
        </w:rPr>
        <w:t>第二十五条</w:t>
      </w:r>
      <w:r>
        <w:rPr>
          <w:rFonts w:ascii="仿宋" w:hAnsi="仿宋"/>
        </w:rPr>
        <w:t xml:space="preserve"> </w:t>
      </w:r>
      <w:r>
        <w:rPr>
          <w:rFonts w:hint="eastAsia" w:ascii="仿宋" w:hAnsi="仿宋"/>
        </w:rPr>
        <w:t>期货公司因严重违法违规或者风险控制不力等导致保证金出现缺口的，中国证监会根据《期货交易管理条例》第七十条、第七十一条进行处罚，吊销期货业务许可证。涉嫌犯罪的，依法移送司法机关。</w:t>
      </w:r>
      <w:r>
        <w:rPr>
          <w:rFonts w:ascii="仿宋" w:hAnsi="仿宋"/>
        </w:rPr>
        <w:t xml:space="preserve"> </w:t>
      </w:r>
    </w:p>
    <w:p>
      <w:pPr>
        <w:spacing w:line="360" w:lineRule="auto"/>
        <w:ind w:firstLine="482" w:firstLineChars="200"/>
        <w:rPr>
          <w:rFonts w:ascii="仿宋" w:hAnsi="仿宋"/>
          <w:b/>
        </w:rPr>
      </w:pPr>
    </w:p>
    <w:p>
      <w:pPr>
        <w:pStyle w:val="4"/>
        <w:rPr>
          <w:rFonts w:ascii="仿宋" w:hAnsi="仿宋"/>
          <w:szCs w:val="24"/>
        </w:rPr>
      </w:pPr>
      <w:bookmarkStart w:id="175" w:name="_Toc404963374"/>
      <w:bookmarkStart w:id="176" w:name="_Toc445043910"/>
      <w:bookmarkStart w:id="177" w:name="_Toc3896736"/>
      <w:r>
        <w:rPr>
          <w:rFonts w:hint="eastAsia" w:ascii="仿宋" w:hAnsi="仿宋"/>
          <w:szCs w:val="24"/>
        </w:rPr>
        <w:t>（十三）《期货市场客户开户管理规定》</w:t>
      </w:r>
      <w:bookmarkEnd w:id="175"/>
      <w:bookmarkEnd w:id="176"/>
      <w:bookmarkEnd w:id="177"/>
    </w:p>
    <w:p>
      <w:pPr>
        <w:pStyle w:val="5"/>
      </w:pPr>
      <w:r>
        <w:rPr>
          <w:rFonts w:hint="eastAsia"/>
        </w:rPr>
        <w:t>1、期货市场实施统一开户制度</w:t>
      </w:r>
    </w:p>
    <w:p>
      <w:pPr>
        <w:spacing w:line="360" w:lineRule="auto"/>
        <w:ind w:firstLine="480" w:firstLineChars="200"/>
        <w:rPr>
          <w:rFonts w:ascii="仿宋" w:hAnsi="仿宋"/>
        </w:rPr>
      </w:pPr>
      <w:r>
        <w:rPr>
          <w:rFonts w:hint="eastAsia" w:ascii="仿宋" w:hAnsi="仿宋"/>
        </w:rPr>
        <w:t>依据：第四条</w:t>
      </w:r>
    </w:p>
    <w:p>
      <w:pPr>
        <w:spacing w:line="360" w:lineRule="auto"/>
        <w:ind w:firstLine="480" w:firstLineChars="200"/>
        <w:rPr>
          <w:rFonts w:ascii="仿宋" w:hAnsi="仿宋"/>
        </w:rPr>
      </w:pPr>
      <w:r>
        <w:rPr>
          <w:rFonts w:hint="eastAsia" w:ascii="仿宋" w:hAnsi="仿宋"/>
          <w:bCs/>
        </w:rPr>
        <w:t>第四条 监控中心应当建立和维护期货市场客户统一开户系统（以下简称统一开户系统），对期货公司提交的客户资料进行复核，并将通过复核的客户资料转发给相关期货交易所。</w:t>
      </w:r>
    </w:p>
    <w:p>
      <w:pPr>
        <w:pStyle w:val="5"/>
      </w:pPr>
      <w:r>
        <w:rPr>
          <w:rFonts w:hint="eastAsia"/>
        </w:rPr>
        <w:t>2、统一开户编码</w:t>
      </w:r>
    </w:p>
    <w:p>
      <w:pPr>
        <w:spacing w:line="360" w:lineRule="auto"/>
        <w:ind w:firstLine="480" w:firstLineChars="200"/>
        <w:rPr>
          <w:rFonts w:ascii="仿宋" w:hAnsi="仿宋"/>
        </w:rPr>
      </w:pPr>
      <w:r>
        <w:rPr>
          <w:rFonts w:hint="eastAsia" w:ascii="仿宋" w:hAnsi="仿宋"/>
        </w:rPr>
        <w:t>统一开户编码是唯一的</w:t>
      </w:r>
      <w:r>
        <w:rPr>
          <w:rFonts w:ascii="仿宋" w:hAnsi="仿宋"/>
        </w:rPr>
        <w:t>,</w:t>
      </w:r>
      <w:r>
        <w:rPr>
          <w:rFonts w:hint="eastAsia" w:ascii="仿宋" w:hAnsi="仿宋"/>
        </w:rPr>
        <w:t>不同于交易编码。</w:t>
      </w:r>
    </w:p>
    <w:p>
      <w:pPr>
        <w:spacing w:line="360" w:lineRule="auto"/>
        <w:ind w:firstLine="480" w:firstLineChars="200"/>
        <w:rPr>
          <w:rFonts w:ascii="仿宋" w:hAnsi="仿宋"/>
        </w:rPr>
      </w:pPr>
      <w:r>
        <w:rPr>
          <w:rFonts w:hint="eastAsia" w:ascii="仿宋" w:hAnsi="仿宋"/>
        </w:rPr>
        <w:t>依据：第六条</w:t>
      </w:r>
    </w:p>
    <w:p>
      <w:pPr>
        <w:spacing w:line="360" w:lineRule="auto"/>
        <w:ind w:firstLine="480" w:firstLineChars="200"/>
        <w:rPr>
          <w:rFonts w:ascii="仿宋" w:hAnsi="仿宋"/>
        </w:rPr>
      </w:pPr>
      <w:r>
        <w:rPr>
          <w:rFonts w:hint="eastAsia" w:ascii="仿宋" w:hAnsi="仿宋"/>
        </w:rPr>
        <w:t>第六条 监控中心应当为每一个客户设立统一开户编码，并建立统一开户编码与客户在各期货交易所交易编码的对应关系。</w:t>
      </w:r>
    </w:p>
    <w:p>
      <w:pPr>
        <w:pStyle w:val="5"/>
      </w:pPr>
      <w:r>
        <w:rPr>
          <w:rFonts w:hint="eastAsia"/>
        </w:rPr>
        <w:t>3、开户实名制</w:t>
      </w:r>
    </w:p>
    <w:p>
      <w:pPr>
        <w:spacing w:line="360" w:lineRule="auto"/>
        <w:ind w:firstLine="480" w:firstLineChars="200"/>
        <w:rPr>
          <w:rFonts w:ascii="仿宋" w:hAnsi="仿宋"/>
        </w:rPr>
      </w:pPr>
      <w:r>
        <w:rPr>
          <w:rFonts w:hint="eastAsia" w:ascii="仿宋" w:hAnsi="仿宋"/>
        </w:rPr>
        <w:t>期货公司应当对客户进行实名制审核</w:t>
      </w:r>
    </w:p>
    <w:p>
      <w:pPr>
        <w:spacing w:line="360" w:lineRule="auto"/>
        <w:ind w:firstLine="480" w:firstLineChars="200"/>
        <w:rPr>
          <w:rFonts w:ascii="仿宋" w:hAnsi="仿宋"/>
        </w:rPr>
      </w:pPr>
      <w:r>
        <w:rPr>
          <w:rFonts w:hint="eastAsia" w:ascii="仿宋" w:hAnsi="仿宋"/>
        </w:rPr>
        <w:t>依据：第九条</w:t>
      </w:r>
    </w:p>
    <w:p>
      <w:pPr>
        <w:tabs>
          <w:tab w:val="left" w:pos="720"/>
          <w:tab w:val="left" w:pos="1080"/>
          <w:tab w:val="left" w:pos="1620"/>
          <w:tab w:val="left" w:pos="1980"/>
          <w:tab w:val="left" w:pos="2340"/>
          <w:tab w:val="left" w:pos="2520"/>
        </w:tabs>
        <w:adjustRightInd w:val="0"/>
        <w:spacing w:line="560" w:lineRule="exact"/>
        <w:ind w:left="509"/>
        <w:rPr>
          <w:rFonts w:ascii="仿宋" w:hAnsi="仿宋"/>
        </w:rPr>
      </w:pPr>
      <w:r>
        <w:rPr>
          <w:rFonts w:hint="eastAsia" w:ascii="仿宋" w:hAnsi="仿宋"/>
          <w:bCs/>
        </w:rPr>
        <w:t>第九条 期货公司应当对客户进行以下实名制审核：</w:t>
      </w:r>
    </w:p>
    <w:p>
      <w:pPr>
        <w:tabs>
          <w:tab w:val="left" w:pos="720"/>
          <w:tab w:val="left" w:pos="1080"/>
          <w:tab w:val="left" w:pos="1620"/>
          <w:tab w:val="left" w:pos="1980"/>
          <w:tab w:val="left" w:pos="2340"/>
          <w:tab w:val="left" w:pos="2520"/>
        </w:tabs>
        <w:adjustRightInd w:val="0"/>
        <w:spacing w:line="560" w:lineRule="exact"/>
        <w:ind w:firstLine="360" w:firstLineChars="150"/>
        <w:rPr>
          <w:rFonts w:ascii="仿宋" w:hAnsi="仿宋"/>
          <w:bCs/>
        </w:rPr>
      </w:pPr>
      <w:r>
        <w:rPr>
          <w:rFonts w:hint="eastAsia" w:ascii="仿宋" w:hAnsi="仿宋"/>
          <w:bCs/>
        </w:rPr>
        <w:t>（一）对照有效身份证明文件，核实个人客户是否本人亲自开户，核实单位客户是否由经授权的代理人开户；</w:t>
      </w:r>
    </w:p>
    <w:p>
      <w:pPr>
        <w:widowControl/>
        <w:spacing w:line="360" w:lineRule="auto"/>
        <w:ind w:firstLine="480" w:firstLineChars="200"/>
        <w:jc w:val="left"/>
        <w:rPr>
          <w:rFonts w:ascii="仿宋" w:hAnsi="仿宋"/>
        </w:rPr>
      </w:pPr>
      <w:r>
        <w:rPr>
          <w:rFonts w:hint="eastAsia" w:ascii="仿宋" w:hAnsi="仿宋"/>
          <w:bCs/>
        </w:rPr>
        <w:t>（二）</w:t>
      </w:r>
      <w:r>
        <w:rPr>
          <w:rFonts w:hint="eastAsia" w:ascii="仿宋" w:hAnsi="仿宋"/>
        </w:rPr>
        <w:t>确保客户交易编码申请表、期货结算账户登记表、期货经纪合同等开户资料所记载的客户姓名或者名称与其有效身份证明文件中的姓名或者名称一致。</w:t>
      </w:r>
    </w:p>
    <w:p>
      <w:pPr>
        <w:pStyle w:val="4"/>
        <w:rPr>
          <w:rFonts w:ascii="仿宋" w:hAnsi="仿宋"/>
          <w:szCs w:val="24"/>
        </w:rPr>
      </w:pPr>
      <w:bookmarkStart w:id="178" w:name="_Toc445043911"/>
      <w:bookmarkStart w:id="179" w:name="_Toc3896737"/>
      <w:r>
        <w:rPr>
          <w:rFonts w:hint="eastAsia" w:ascii="仿宋" w:hAnsi="仿宋"/>
          <w:szCs w:val="24"/>
        </w:rPr>
        <w:t>（十四）《私募投资基金监督管理办法》</w:t>
      </w:r>
      <w:bookmarkEnd w:id="178"/>
      <w:bookmarkEnd w:id="179"/>
    </w:p>
    <w:p>
      <w:pPr>
        <w:pStyle w:val="5"/>
      </w:pPr>
      <w:r>
        <w:rPr>
          <w:rFonts w:hint="eastAsia"/>
        </w:rPr>
        <w:t>1、私募投资基金定义及适用主体</w:t>
      </w:r>
    </w:p>
    <w:p>
      <w:pPr>
        <w:spacing w:line="360" w:lineRule="auto"/>
        <w:ind w:firstLine="480" w:firstLineChars="200"/>
        <w:rPr>
          <w:rFonts w:ascii="仿宋" w:hAnsi="仿宋"/>
        </w:rPr>
      </w:pPr>
      <w:r>
        <w:rPr>
          <w:rFonts w:hint="eastAsia" w:ascii="仿宋" w:hAnsi="仿宋"/>
        </w:rPr>
        <w:t>依据：第二条</w:t>
      </w:r>
    </w:p>
    <w:p>
      <w:pPr>
        <w:widowControl/>
        <w:spacing w:line="360" w:lineRule="auto"/>
        <w:ind w:firstLine="480" w:firstLineChars="200"/>
        <w:jc w:val="left"/>
        <w:rPr>
          <w:rFonts w:ascii="仿宋" w:hAnsi="仿宋"/>
        </w:rPr>
      </w:pPr>
      <w:r>
        <w:rPr>
          <w:rFonts w:hint="eastAsia" w:ascii="仿宋" w:hAnsi="仿宋"/>
        </w:rPr>
        <w:t>第二条 本办法所称私募投资基金（以下简称私募基金），是指在中华人民共和国境内，以非公开方式向投资者募集资金设立的投资基金。</w:t>
      </w:r>
    </w:p>
    <w:p>
      <w:pPr>
        <w:widowControl/>
        <w:spacing w:line="360" w:lineRule="auto"/>
        <w:jc w:val="left"/>
        <w:rPr>
          <w:rFonts w:ascii="仿宋" w:hAnsi="仿宋"/>
        </w:rPr>
      </w:pPr>
      <w:r>
        <w:rPr>
          <w:rFonts w:hint="eastAsia" w:ascii="仿宋" w:hAnsi="仿宋"/>
        </w:rPr>
        <w:t xml:space="preserve">    私募基金财产的投资包括买卖股票、股权、债券、期货、期权、基金份额及投资合同约定的其他投资标的。</w:t>
      </w:r>
    </w:p>
    <w:p>
      <w:pPr>
        <w:widowControl/>
        <w:spacing w:line="360" w:lineRule="auto"/>
        <w:jc w:val="left"/>
        <w:rPr>
          <w:rFonts w:ascii="仿宋" w:hAnsi="仿宋"/>
        </w:rPr>
      </w:pPr>
      <w:r>
        <w:rPr>
          <w:rFonts w:hint="eastAsia" w:ascii="仿宋" w:hAnsi="仿宋"/>
        </w:rPr>
        <w:t xml:space="preserve">    非公开募集资金，以进行投资活动为目的设立的公司或者合伙企业，资产由基金管理人或者普通合伙人管理的，其登记备案、资金募集和投资运作适用本办法。</w:t>
      </w:r>
    </w:p>
    <w:p>
      <w:pPr>
        <w:widowControl/>
        <w:spacing w:line="360" w:lineRule="auto"/>
        <w:jc w:val="left"/>
        <w:rPr>
          <w:rFonts w:ascii="仿宋" w:hAnsi="仿宋"/>
        </w:rPr>
      </w:pPr>
      <w:r>
        <w:rPr>
          <w:rFonts w:hint="eastAsia" w:ascii="仿宋" w:hAnsi="仿宋"/>
        </w:rPr>
        <w:t xml:space="preserve">    证券公司、基金管理公司、期货公司及其子公司从事私募基金业务适用本办法，其他法律法规和中国证券监督管理委员会（以下简称中国证监会）有关规定对上述机构从事私募基金业务另有规定的，适用其规定。</w:t>
      </w:r>
    </w:p>
    <w:p>
      <w:pPr>
        <w:pStyle w:val="5"/>
      </w:pPr>
      <w:r>
        <w:rPr>
          <w:rFonts w:hint="eastAsia"/>
        </w:rPr>
        <w:t>2、登记备案要求</w:t>
      </w:r>
    </w:p>
    <w:p>
      <w:pPr>
        <w:spacing w:line="360" w:lineRule="auto"/>
        <w:ind w:firstLine="480" w:firstLineChars="200"/>
        <w:rPr>
          <w:rFonts w:ascii="仿宋" w:hAnsi="仿宋"/>
        </w:rPr>
      </w:pPr>
      <w:r>
        <w:rPr>
          <w:rFonts w:hint="eastAsia" w:ascii="仿宋" w:hAnsi="仿宋"/>
        </w:rPr>
        <w:t>依据：第七条、第八条、第九条</w:t>
      </w:r>
    </w:p>
    <w:p>
      <w:pPr>
        <w:widowControl/>
        <w:spacing w:line="360" w:lineRule="auto"/>
        <w:ind w:firstLine="480" w:firstLineChars="200"/>
        <w:jc w:val="left"/>
        <w:rPr>
          <w:rFonts w:ascii="仿宋" w:hAnsi="仿宋"/>
        </w:rPr>
      </w:pPr>
      <w:r>
        <w:rPr>
          <w:rFonts w:hint="eastAsia" w:ascii="仿宋" w:hAnsi="仿宋"/>
        </w:rPr>
        <w:t>第七条 各类私募基金管理人应当根据基金业协会的规定，向基金业协会申请登记，报送以下基本信息：</w:t>
      </w:r>
    </w:p>
    <w:p>
      <w:pPr>
        <w:widowControl/>
        <w:spacing w:line="360" w:lineRule="auto"/>
        <w:jc w:val="left"/>
        <w:rPr>
          <w:rFonts w:ascii="仿宋" w:hAnsi="仿宋"/>
        </w:rPr>
      </w:pPr>
      <w:r>
        <w:rPr>
          <w:rFonts w:hint="eastAsia" w:ascii="仿宋" w:hAnsi="仿宋"/>
        </w:rPr>
        <w:t xml:space="preserve">    （一）工商登记和营业执照正副本复印件;</w:t>
      </w:r>
    </w:p>
    <w:p>
      <w:pPr>
        <w:widowControl/>
        <w:spacing w:line="360" w:lineRule="auto"/>
        <w:jc w:val="left"/>
        <w:rPr>
          <w:rFonts w:ascii="仿宋" w:hAnsi="仿宋"/>
        </w:rPr>
      </w:pPr>
      <w:r>
        <w:rPr>
          <w:rFonts w:hint="eastAsia" w:ascii="仿宋" w:hAnsi="仿宋"/>
        </w:rPr>
        <w:t xml:space="preserve">    （二）公司章程或者合伙协议；</w:t>
      </w:r>
    </w:p>
    <w:p>
      <w:pPr>
        <w:widowControl/>
        <w:spacing w:line="360" w:lineRule="auto"/>
        <w:jc w:val="left"/>
        <w:rPr>
          <w:rFonts w:ascii="仿宋" w:hAnsi="仿宋"/>
        </w:rPr>
      </w:pPr>
      <w:r>
        <w:rPr>
          <w:rFonts w:hint="eastAsia" w:ascii="仿宋" w:hAnsi="仿宋"/>
        </w:rPr>
        <w:t xml:space="preserve">    （三）主要股东或者合伙人名单；</w:t>
      </w:r>
    </w:p>
    <w:p>
      <w:pPr>
        <w:widowControl/>
        <w:spacing w:line="360" w:lineRule="auto"/>
        <w:jc w:val="left"/>
        <w:rPr>
          <w:rFonts w:ascii="仿宋" w:hAnsi="仿宋"/>
        </w:rPr>
      </w:pPr>
      <w:r>
        <w:rPr>
          <w:rFonts w:hint="eastAsia" w:ascii="仿宋" w:hAnsi="仿宋"/>
        </w:rPr>
        <w:t xml:space="preserve">    （四）高级管理人员的基本信息；</w:t>
      </w:r>
    </w:p>
    <w:p>
      <w:pPr>
        <w:widowControl/>
        <w:spacing w:line="360" w:lineRule="auto"/>
        <w:jc w:val="left"/>
        <w:rPr>
          <w:rFonts w:ascii="仿宋" w:hAnsi="仿宋"/>
        </w:rPr>
      </w:pPr>
      <w:r>
        <w:rPr>
          <w:rFonts w:hint="eastAsia" w:ascii="仿宋" w:hAnsi="仿宋"/>
        </w:rPr>
        <w:t xml:space="preserve">    （五）基金业协会规定的其他信息。</w:t>
      </w:r>
    </w:p>
    <w:p>
      <w:pPr>
        <w:widowControl/>
        <w:spacing w:line="360" w:lineRule="auto"/>
        <w:ind w:firstLine="465"/>
        <w:jc w:val="left"/>
        <w:rPr>
          <w:rFonts w:ascii="仿宋" w:hAnsi="仿宋"/>
        </w:rPr>
      </w:pPr>
      <w:r>
        <w:rPr>
          <w:rFonts w:hint="eastAsia" w:ascii="仿宋" w:hAnsi="仿宋"/>
        </w:rPr>
        <w:t>基金业协会应当在私募基金管理人登记材料齐备后的20个工作日内，通过网站公告私募基金管理人名单及其基本情况的方式，为私募基金管理人办结登记手续。</w:t>
      </w:r>
    </w:p>
    <w:p>
      <w:pPr>
        <w:widowControl/>
        <w:spacing w:line="360" w:lineRule="auto"/>
        <w:ind w:firstLine="465"/>
        <w:jc w:val="left"/>
        <w:rPr>
          <w:rFonts w:ascii="仿宋" w:hAnsi="仿宋"/>
        </w:rPr>
      </w:pPr>
      <w:r>
        <w:rPr>
          <w:rFonts w:hint="eastAsia" w:ascii="仿宋" w:hAnsi="仿宋"/>
        </w:rPr>
        <w:t>第八条 各类私募基金募集完毕，私募基金管理人应当根据基金业协会的规定，办理基金备案手续，报送以下基本信息：</w:t>
      </w:r>
    </w:p>
    <w:p>
      <w:pPr>
        <w:widowControl/>
        <w:spacing w:line="360" w:lineRule="auto"/>
        <w:ind w:firstLine="465"/>
        <w:jc w:val="left"/>
        <w:rPr>
          <w:rFonts w:ascii="仿宋" w:hAnsi="仿宋"/>
        </w:rPr>
      </w:pPr>
      <w:r>
        <w:rPr>
          <w:rFonts w:hint="eastAsia" w:ascii="仿宋" w:hAnsi="仿宋"/>
        </w:rPr>
        <w:t>（一）主要投资方向及根据主要投资方向注明的基金类别；</w:t>
      </w:r>
    </w:p>
    <w:p>
      <w:pPr>
        <w:widowControl/>
        <w:spacing w:line="360" w:lineRule="auto"/>
        <w:ind w:firstLine="465"/>
        <w:jc w:val="left"/>
        <w:rPr>
          <w:rFonts w:ascii="仿宋" w:hAnsi="仿宋"/>
        </w:rPr>
      </w:pPr>
      <w:r>
        <w:rPr>
          <w:rFonts w:hint="eastAsia" w:ascii="仿宋" w:hAnsi="仿宋"/>
        </w:rPr>
        <w:t>（二）基金合同、公司章程或者合伙协议。资金募集过程中向投资者提供基金招募说明书的，应当报送基金招募说明书。以公司、合伙等企业形式设立的私募基金，还应当报送工商登记和营业执照正副本复印件；</w:t>
      </w:r>
    </w:p>
    <w:p>
      <w:pPr>
        <w:widowControl/>
        <w:spacing w:line="360" w:lineRule="auto"/>
        <w:ind w:firstLine="465"/>
        <w:jc w:val="left"/>
        <w:rPr>
          <w:rFonts w:ascii="仿宋" w:hAnsi="仿宋"/>
        </w:rPr>
      </w:pPr>
      <w:r>
        <w:rPr>
          <w:rFonts w:hint="eastAsia" w:ascii="仿宋" w:hAnsi="仿宋"/>
        </w:rPr>
        <w:t>（三）采取委托管理方式的，应当报送委托管理协议。委托托管机构托管基金财产的，还应当报送托管协议；</w:t>
      </w:r>
    </w:p>
    <w:p>
      <w:pPr>
        <w:widowControl/>
        <w:spacing w:line="360" w:lineRule="auto"/>
        <w:ind w:firstLine="465"/>
        <w:jc w:val="left"/>
        <w:rPr>
          <w:rFonts w:ascii="仿宋" w:hAnsi="仿宋"/>
        </w:rPr>
      </w:pPr>
      <w:r>
        <w:rPr>
          <w:rFonts w:hint="eastAsia" w:ascii="仿宋" w:hAnsi="仿宋"/>
        </w:rPr>
        <w:t>（四）基金业协会规定的其他信息。</w:t>
      </w:r>
    </w:p>
    <w:p>
      <w:pPr>
        <w:widowControl/>
        <w:spacing w:line="360" w:lineRule="auto"/>
        <w:ind w:firstLine="465"/>
        <w:jc w:val="left"/>
        <w:rPr>
          <w:rFonts w:ascii="仿宋" w:hAnsi="仿宋"/>
        </w:rPr>
      </w:pPr>
      <w:r>
        <w:rPr>
          <w:rFonts w:hint="eastAsia" w:ascii="仿宋" w:hAnsi="仿宋"/>
        </w:rPr>
        <w:t>基金业协会应当在私募基金备案材料齐备后的20个工作日内，通过网站公告私募基金名单及其基本情况的方式，为私募基金办结备案手续。</w:t>
      </w:r>
    </w:p>
    <w:p>
      <w:pPr>
        <w:widowControl/>
        <w:spacing w:line="360" w:lineRule="auto"/>
        <w:ind w:firstLine="465"/>
        <w:jc w:val="left"/>
        <w:rPr>
          <w:rFonts w:ascii="仿宋" w:hAnsi="仿宋"/>
        </w:rPr>
      </w:pPr>
      <w:r>
        <w:rPr>
          <w:rFonts w:hint="eastAsia" w:ascii="仿宋" w:hAnsi="仿宋"/>
        </w:rPr>
        <w:t>第九条 基金业协会为私募基金管理人和私募基金办理登记备案不构成对私募基金管理人投资能力、持续合规情况的认可；不作为对基金财产安全的保证。</w:t>
      </w:r>
    </w:p>
    <w:p>
      <w:pPr>
        <w:pStyle w:val="5"/>
      </w:pPr>
      <w:r>
        <w:rPr>
          <w:rFonts w:hint="eastAsia"/>
        </w:rPr>
        <w:t>3、合格投资者标准</w:t>
      </w:r>
    </w:p>
    <w:p>
      <w:pPr>
        <w:spacing w:line="360" w:lineRule="auto"/>
        <w:ind w:firstLine="480" w:firstLineChars="200"/>
        <w:rPr>
          <w:rFonts w:ascii="仿宋" w:hAnsi="仿宋"/>
        </w:rPr>
      </w:pPr>
      <w:r>
        <w:rPr>
          <w:rFonts w:hint="eastAsia" w:ascii="仿宋" w:hAnsi="仿宋"/>
        </w:rPr>
        <w:t>依据：第十二条、</w:t>
      </w:r>
      <w:r>
        <w:rPr>
          <w:rFonts w:ascii="仿宋" w:hAnsi="仿宋"/>
        </w:rPr>
        <w:t>第十三条</w:t>
      </w:r>
    </w:p>
    <w:p>
      <w:pPr>
        <w:widowControl/>
        <w:spacing w:line="360" w:lineRule="auto"/>
        <w:ind w:firstLine="480" w:firstLineChars="200"/>
        <w:jc w:val="left"/>
        <w:rPr>
          <w:rFonts w:ascii="仿宋" w:hAnsi="仿宋"/>
        </w:rPr>
      </w:pPr>
      <w:r>
        <w:rPr>
          <w:rFonts w:hint="eastAsia" w:ascii="仿宋" w:hAnsi="仿宋"/>
        </w:rPr>
        <w:t>第十二条 私募基金的合格投资者是指具备相应风险识别能力和风险承担能力，投资于单只私募基金的金额不低于100万元且符合下列相关标准的单位和个人：</w:t>
      </w:r>
    </w:p>
    <w:p>
      <w:pPr>
        <w:widowControl/>
        <w:spacing w:line="360" w:lineRule="auto"/>
        <w:jc w:val="left"/>
        <w:rPr>
          <w:rFonts w:ascii="仿宋" w:hAnsi="仿宋"/>
        </w:rPr>
      </w:pPr>
      <w:r>
        <w:rPr>
          <w:rFonts w:hint="eastAsia" w:ascii="仿宋" w:hAnsi="仿宋"/>
        </w:rPr>
        <w:t xml:space="preserve">    （一）净资产不低于1000万元的单位；</w:t>
      </w:r>
    </w:p>
    <w:p>
      <w:pPr>
        <w:widowControl/>
        <w:spacing w:line="360" w:lineRule="auto"/>
        <w:jc w:val="left"/>
        <w:rPr>
          <w:rFonts w:ascii="仿宋" w:hAnsi="仿宋"/>
        </w:rPr>
      </w:pPr>
      <w:r>
        <w:rPr>
          <w:rFonts w:hint="eastAsia" w:ascii="仿宋" w:hAnsi="仿宋"/>
        </w:rPr>
        <w:t xml:space="preserve">    （二）金融资产不低于300万元或者最近三年个人年均收入不低于50万元的个人。</w:t>
      </w:r>
    </w:p>
    <w:p>
      <w:pPr>
        <w:widowControl/>
        <w:spacing w:line="360" w:lineRule="auto"/>
        <w:ind w:firstLine="480"/>
        <w:jc w:val="left"/>
        <w:rPr>
          <w:rFonts w:ascii="仿宋" w:hAnsi="仿宋"/>
        </w:rPr>
      </w:pPr>
      <w:r>
        <w:rPr>
          <w:rFonts w:hint="eastAsia" w:ascii="仿宋" w:hAnsi="仿宋"/>
        </w:rPr>
        <w:t>前款所称金融资产包括银行存款、股票、债券、基金份额、资产管理计划、银行理财产品、信托计划、保险产品、期货权益等。</w:t>
      </w:r>
    </w:p>
    <w:p>
      <w:pPr>
        <w:widowControl/>
        <w:spacing w:line="360" w:lineRule="auto"/>
        <w:ind w:firstLine="480"/>
        <w:jc w:val="left"/>
        <w:rPr>
          <w:rFonts w:ascii="仿宋" w:hAnsi="仿宋"/>
        </w:rPr>
      </w:pPr>
      <w:r>
        <w:rPr>
          <w:rFonts w:hint="eastAsia" w:ascii="仿宋" w:hAnsi="仿宋"/>
        </w:rPr>
        <w:t>第十三条 下列投资者视为合格投资者：</w:t>
      </w:r>
    </w:p>
    <w:p>
      <w:pPr>
        <w:widowControl/>
        <w:spacing w:line="360" w:lineRule="auto"/>
        <w:ind w:firstLine="480"/>
        <w:jc w:val="left"/>
        <w:rPr>
          <w:rFonts w:ascii="仿宋" w:hAnsi="仿宋"/>
        </w:rPr>
      </w:pPr>
      <w:r>
        <w:rPr>
          <w:rFonts w:hint="eastAsia" w:ascii="仿宋" w:hAnsi="仿宋"/>
        </w:rPr>
        <w:t>（一）社会保障基金、企业年金等养老基金，慈善基金等社会公益基金；</w:t>
      </w:r>
    </w:p>
    <w:p>
      <w:pPr>
        <w:widowControl/>
        <w:spacing w:line="360" w:lineRule="auto"/>
        <w:ind w:firstLine="480"/>
        <w:jc w:val="left"/>
        <w:rPr>
          <w:rFonts w:ascii="仿宋" w:hAnsi="仿宋"/>
        </w:rPr>
      </w:pPr>
      <w:r>
        <w:rPr>
          <w:rFonts w:hint="eastAsia" w:ascii="仿宋" w:hAnsi="仿宋"/>
        </w:rPr>
        <w:t>（二）依法设立并在基金业协会备案的投资计划；</w:t>
      </w:r>
    </w:p>
    <w:p>
      <w:pPr>
        <w:widowControl/>
        <w:spacing w:line="360" w:lineRule="auto"/>
        <w:ind w:firstLine="480"/>
        <w:jc w:val="left"/>
        <w:rPr>
          <w:rFonts w:ascii="仿宋" w:hAnsi="仿宋"/>
        </w:rPr>
      </w:pPr>
      <w:r>
        <w:rPr>
          <w:rFonts w:hint="eastAsia" w:ascii="仿宋" w:hAnsi="仿宋"/>
        </w:rPr>
        <w:t>（三）投资于所管理私募基金的私募基金管理人及其从业人员；</w:t>
      </w:r>
    </w:p>
    <w:p>
      <w:pPr>
        <w:widowControl/>
        <w:spacing w:line="360" w:lineRule="auto"/>
        <w:ind w:firstLine="480"/>
        <w:jc w:val="left"/>
        <w:rPr>
          <w:rFonts w:ascii="仿宋" w:hAnsi="仿宋"/>
        </w:rPr>
      </w:pPr>
      <w:r>
        <w:rPr>
          <w:rFonts w:hint="eastAsia" w:ascii="仿宋" w:hAnsi="仿宋"/>
        </w:rPr>
        <w:t>（四）中国证监会规定的其他投资者。</w:t>
      </w:r>
    </w:p>
    <w:p>
      <w:pPr>
        <w:widowControl/>
        <w:spacing w:line="360" w:lineRule="auto"/>
        <w:ind w:firstLine="480"/>
        <w:jc w:val="left"/>
        <w:rPr>
          <w:rFonts w:ascii="仿宋" w:hAnsi="仿宋"/>
        </w:rPr>
      </w:pPr>
      <w:r>
        <w:rPr>
          <w:rFonts w:hint="eastAsia" w:ascii="仿宋" w:hAnsi="仿宋"/>
        </w:rPr>
        <w:t>以合伙企业、契约等非法人形式，通过汇集多数投资者的资金直接或者间接投资于私募基金的，私募基金管理人或者私募基金销售机构应当穿透核查最终投资者是否为合格投资者，并合并计算投资者人数。但是，符合本条第（一）、（二）、（四）项规定的投资者投资私募基金的，不再穿透核查最终投资者是否为合格投资者和合并计算投资者人数。</w:t>
      </w:r>
    </w:p>
    <w:p>
      <w:pPr>
        <w:pStyle w:val="5"/>
      </w:pPr>
      <w:r>
        <w:rPr>
          <w:rFonts w:hint="eastAsia"/>
        </w:rPr>
        <w:t>4、资金募集要求</w:t>
      </w:r>
    </w:p>
    <w:p>
      <w:pPr>
        <w:widowControl/>
        <w:spacing w:line="360" w:lineRule="auto"/>
        <w:ind w:firstLine="480" w:firstLineChars="200"/>
        <w:jc w:val="left"/>
        <w:rPr>
          <w:rFonts w:ascii="仿宋" w:hAnsi="仿宋"/>
        </w:rPr>
      </w:pPr>
      <w:r>
        <w:rPr>
          <w:rFonts w:hint="eastAsia" w:ascii="仿宋" w:hAnsi="仿宋"/>
        </w:rPr>
        <w:t>依据：第十四条、第十五条、第十六条、第十七条、第十八条、第十九条</w:t>
      </w:r>
    </w:p>
    <w:p>
      <w:pPr>
        <w:widowControl/>
        <w:spacing w:line="360" w:lineRule="auto"/>
        <w:ind w:firstLine="480" w:firstLineChars="200"/>
        <w:jc w:val="left"/>
        <w:rPr>
          <w:rFonts w:ascii="仿宋" w:hAnsi="仿宋"/>
        </w:rPr>
      </w:pPr>
      <w:r>
        <w:rPr>
          <w:rFonts w:hint="eastAsia" w:ascii="仿宋" w:hAnsi="仿宋"/>
        </w:rPr>
        <w:t>第十四条 私募基金管理人、私募基金销售机构不得向合格投资者之外的单位和个人募集资金，不得通过报刊、电台、电视、互联网等公众传播媒体或者讲座、报告会、分析会和布告、传单、手机短信、微信、博客和电子邮件等方式，向不特定对象宣传推介。</w:t>
      </w:r>
    </w:p>
    <w:p>
      <w:pPr>
        <w:widowControl/>
        <w:spacing w:line="360" w:lineRule="auto"/>
        <w:ind w:firstLine="480" w:firstLineChars="200"/>
        <w:jc w:val="left"/>
        <w:rPr>
          <w:rFonts w:ascii="仿宋" w:hAnsi="仿宋"/>
        </w:rPr>
      </w:pPr>
      <w:r>
        <w:rPr>
          <w:rFonts w:hint="eastAsia" w:ascii="仿宋" w:hAnsi="仿宋"/>
        </w:rPr>
        <w:t>第十五条 私募基金管理人、私募基金销售机构不得向投资者承诺投资本金不受损失或者承诺最低收益。</w:t>
      </w:r>
    </w:p>
    <w:p>
      <w:pPr>
        <w:widowControl/>
        <w:spacing w:line="360" w:lineRule="auto"/>
        <w:ind w:firstLine="480" w:firstLineChars="200"/>
        <w:jc w:val="left"/>
        <w:rPr>
          <w:rFonts w:ascii="仿宋" w:hAnsi="仿宋"/>
        </w:rPr>
      </w:pPr>
      <w:r>
        <w:rPr>
          <w:rFonts w:hint="eastAsia" w:ascii="仿宋" w:hAnsi="仿宋"/>
        </w:rPr>
        <w:t>第十六条 私募基金管理人自行销售私募基金的，应当采取问卷调查等方式，对投资者的风险识别能力和风险承担能力进行评估，由投资者书面承诺符合合格投资者条件；应当制作风险揭示书，由投资者签字确认。</w:t>
      </w:r>
    </w:p>
    <w:p>
      <w:pPr>
        <w:widowControl/>
        <w:spacing w:line="360" w:lineRule="auto"/>
        <w:ind w:firstLine="480" w:firstLineChars="200"/>
        <w:jc w:val="left"/>
        <w:rPr>
          <w:rFonts w:ascii="仿宋" w:hAnsi="仿宋"/>
        </w:rPr>
      </w:pPr>
      <w:r>
        <w:rPr>
          <w:rFonts w:hint="eastAsia" w:ascii="仿宋" w:hAnsi="仿宋"/>
        </w:rPr>
        <w:t>私募基金管理人委托销售机构销售私募基金的，私募基金销售机构应当采取前款规定的评估、确认等措施。</w:t>
      </w:r>
    </w:p>
    <w:p>
      <w:pPr>
        <w:widowControl/>
        <w:spacing w:line="360" w:lineRule="auto"/>
        <w:ind w:firstLine="480" w:firstLineChars="200"/>
        <w:jc w:val="left"/>
        <w:rPr>
          <w:rFonts w:ascii="仿宋" w:hAnsi="仿宋"/>
        </w:rPr>
      </w:pPr>
      <w:r>
        <w:rPr>
          <w:rFonts w:hint="eastAsia" w:ascii="仿宋" w:hAnsi="仿宋"/>
        </w:rPr>
        <w:t>投资者风险识别能力和承担能力问卷及风险揭示书的内容与格式指引，由基金业协会按照不同类别私募基金的特点制定。</w:t>
      </w:r>
    </w:p>
    <w:p>
      <w:pPr>
        <w:widowControl/>
        <w:spacing w:line="360" w:lineRule="auto"/>
        <w:ind w:firstLine="480" w:firstLineChars="200"/>
        <w:jc w:val="left"/>
        <w:rPr>
          <w:rFonts w:ascii="仿宋" w:hAnsi="仿宋"/>
        </w:rPr>
      </w:pPr>
      <w:r>
        <w:rPr>
          <w:rFonts w:hint="eastAsia" w:ascii="仿宋" w:hAnsi="仿宋"/>
        </w:rPr>
        <w:t>第十七条 私募基金管理人自行销售或者委托销售机构销售私募基金，应当自行或者委托第三方机构对私募基金进行风险评级，向风险识别能力和风险承担能力相匹配的投资者推介私募基金。</w:t>
      </w:r>
    </w:p>
    <w:p>
      <w:pPr>
        <w:widowControl/>
        <w:spacing w:line="360" w:lineRule="auto"/>
        <w:ind w:firstLine="480" w:firstLineChars="200"/>
        <w:jc w:val="left"/>
        <w:rPr>
          <w:rFonts w:ascii="仿宋" w:hAnsi="仿宋"/>
        </w:rPr>
      </w:pPr>
      <w:r>
        <w:rPr>
          <w:rFonts w:hint="eastAsia" w:ascii="仿宋" w:hAnsi="仿宋"/>
        </w:rPr>
        <w:t>第十八条 投资者应当如实填写风险识别能力和承担能力问卷，如实承诺资产或者收入情况，并对其真实性、准确性和完整性负责。填写虚假信息或者提供虚假承诺文件的，应当承担相应责任。</w:t>
      </w:r>
    </w:p>
    <w:p>
      <w:pPr>
        <w:widowControl/>
        <w:spacing w:line="360" w:lineRule="auto"/>
        <w:ind w:firstLine="480" w:firstLineChars="200"/>
        <w:jc w:val="left"/>
        <w:rPr>
          <w:rFonts w:ascii="仿宋" w:hAnsi="仿宋"/>
        </w:rPr>
      </w:pPr>
      <w:r>
        <w:rPr>
          <w:rFonts w:hint="eastAsia" w:ascii="仿宋" w:hAnsi="仿宋"/>
        </w:rPr>
        <w:t>第十九条 投资者应当确保投资资金来源合法，不得非法汇集他人资金投资私募基金。</w:t>
      </w:r>
    </w:p>
    <w:p>
      <w:pPr>
        <w:pStyle w:val="5"/>
      </w:pPr>
      <w:r>
        <w:rPr>
          <w:rFonts w:hint="eastAsia"/>
        </w:rPr>
        <w:t>5、托管要求</w:t>
      </w:r>
    </w:p>
    <w:p>
      <w:pPr>
        <w:widowControl/>
        <w:spacing w:line="360" w:lineRule="auto"/>
        <w:ind w:firstLine="465"/>
        <w:jc w:val="left"/>
        <w:rPr>
          <w:rFonts w:ascii="仿宋" w:hAnsi="仿宋"/>
        </w:rPr>
      </w:pPr>
      <w:r>
        <w:rPr>
          <w:rFonts w:hint="eastAsia" w:ascii="仿宋" w:hAnsi="仿宋"/>
        </w:rPr>
        <w:t>依据：第二十一条</w:t>
      </w:r>
    </w:p>
    <w:p>
      <w:pPr>
        <w:widowControl/>
        <w:spacing w:line="360" w:lineRule="auto"/>
        <w:ind w:firstLine="465"/>
        <w:jc w:val="left"/>
        <w:rPr>
          <w:rFonts w:ascii="仿宋" w:hAnsi="仿宋"/>
        </w:rPr>
      </w:pPr>
      <w:r>
        <w:rPr>
          <w:rFonts w:hint="eastAsia" w:ascii="仿宋" w:hAnsi="仿宋"/>
        </w:rPr>
        <w:t>第二十一条 除基金合同另有约定外，私募基金应当由基金托管人托管。</w:t>
      </w:r>
    </w:p>
    <w:p>
      <w:pPr>
        <w:widowControl/>
        <w:spacing w:line="360" w:lineRule="auto"/>
        <w:ind w:firstLine="465"/>
        <w:jc w:val="left"/>
        <w:rPr>
          <w:rFonts w:ascii="仿宋" w:hAnsi="仿宋"/>
        </w:rPr>
      </w:pPr>
      <w:r>
        <w:rPr>
          <w:rFonts w:hint="eastAsia" w:ascii="仿宋" w:hAnsi="仿宋"/>
        </w:rPr>
        <w:t>基金合同约定私募基金不进行托管的，应当在基金合同中明确保障私募基金财产安全的制度措施和纠纷解决机制。</w:t>
      </w:r>
    </w:p>
    <w:p>
      <w:pPr>
        <w:pStyle w:val="5"/>
      </w:pPr>
      <w:r>
        <w:rPr>
          <w:rFonts w:hint="eastAsia"/>
        </w:rPr>
        <w:t>6、业务开展禁止行为</w:t>
      </w:r>
    </w:p>
    <w:p>
      <w:pPr>
        <w:widowControl/>
        <w:spacing w:line="360" w:lineRule="auto"/>
        <w:ind w:firstLine="480" w:firstLineChars="200"/>
        <w:jc w:val="left"/>
        <w:rPr>
          <w:rFonts w:ascii="仿宋" w:hAnsi="仿宋"/>
        </w:rPr>
      </w:pPr>
      <w:r>
        <w:rPr>
          <w:rFonts w:hint="eastAsia" w:ascii="仿宋" w:hAnsi="仿宋"/>
        </w:rPr>
        <w:t>依据：第二十三条</w:t>
      </w:r>
    </w:p>
    <w:p>
      <w:pPr>
        <w:widowControl/>
        <w:spacing w:line="360" w:lineRule="auto"/>
        <w:ind w:firstLine="480" w:firstLineChars="200"/>
        <w:jc w:val="left"/>
        <w:rPr>
          <w:rFonts w:ascii="仿宋" w:hAnsi="仿宋"/>
        </w:rPr>
      </w:pPr>
      <w:r>
        <w:rPr>
          <w:rFonts w:hint="eastAsia" w:ascii="仿宋" w:hAnsi="仿宋"/>
        </w:rPr>
        <w:t>第二十三条 私募基金管理人、私募基金托管人、私募基金销售机构及其他私募服务机构及其从业人员从事私募基金业务，不得有以下行为：</w:t>
      </w:r>
    </w:p>
    <w:p>
      <w:pPr>
        <w:widowControl/>
        <w:spacing w:line="360" w:lineRule="auto"/>
        <w:jc w:val="left"/>
        <w:rPr>
          <w:rFonts w:ascii="仿宋" w:hAnsi="仿宋"/>
        </w:rPr>
      </w:pPr>
      <w:r>
        <w:rPr>
          <w:rFonts w:hint="eastAsia" w:ascii="仿宋" w:hAnsi="仿宋"/>
        </w:rPr>
        <w:t xml:space="preserve">    （一）将其固有财产或者他人财产混同于基金财产从事投资活动；</w:t>
      </w:r>
    </w:p>
    <w:p>
      <w:pPr>
        <w:widowControl/>
        <w:spacing w:line="360" w:lineRule="auto"/>
        <w:jc w:val="left"/>
        <w:rPr>
          <w:rFonts w:ascii="仿宋" w:hAnsi="仿宋"/>
        </w:rPr>
      </w:pPr>
      <w:r>
        <w:rPr>
          <w:rFonts w:hint="eastAsia" w:ascii="仿宋" w:hAnsi="仿宋"/>
        </w:rPr>
        <w:t xml:space="preserve">    （二）不公平地对待其管理的不同基金财产；</w:t>
      </w:r>
    </w:p>
    <w:p>
      <w:pPr>
        <w:widowControl/>
        <w:spacing w:line="360" w:lineRule="auto"/>
        <w:jc w:val="left"/>
        <w:rPr>
          <w:rFonts w:ascii="仿宋" w:hAnsi="仿宋"/>
        </w:rPr>
      </w:pPr>
      <w:r>
        <w:rPr>
          <w:rFonts w:hint="eastAsia" w:ascii="仿宋" w:hAnsi="仿宋"/>
        </w:rPr>
        <w:t xml:space="preserve">    （三）利用基金财产或者职务之便，为本人或者投资者以外的人牟取利益，进行利益输送；</w:t>
      </w:r>
    </w:p>
    <w:p>
      <w:pPr>
        <w:widowControl/>
        <w:spacing w:line="360" w:lineRule="auto"/>
        <w:jc w:val="left"/>
        <w:rPr>
          <w:rFonts w:ascii="仿宋" w:hAnsi="仿宋"/>
        </w:rPr>
      </w:pPr>
      <w:r>
        <w:rPr>
          <w:rFonts w:hint="eastAsia" w:ascii="仿宋" w:hAnsi="仿宋"/>
        </w:rPr>
        <w:t xml:space="preserve">    （四）侵占、挪用基金财产；</w:t>
      </w:r>
    </w:p>
    <w:p>
      <w:pPr>
        <w:widowControl/>
        <w:spacing w:line="360" w:lineRule="auto"/>
        <w:jc w:val="left"/>
        <w:rPr>
          <w:rFonts w:ascii="仿宋" w:hAnsi="仿宋"/>
        </w:rPr>
      </w:pPr>
      <w:r>
        <w:rPr>
          <w:rFonts w:hint="eastAsia" w:ascii="仿宋" w:hAnsi="仿宋"/>
        </w:rPr>
        <w:t xml:space="preserve">    （五）泄露因职务便利获取的未公开信息，利用该信息从事或者明示、暗示他人从事相关的交易活动；</w:t>
      </w:r>
    </w:p>
    <w:p>
      <w:pPr>
        <w:widowControl/>
        <w:spacing w:line="360" w:lineRule="auto"/>
        <w:jc w:val="left"/>
        <w:rPr>
          <w:rFonts w:ascii="仿宋" w:hAnsi="仿宋"/>
        </w:rPr>
      </w:pPr>
      <w:r>
        <w:rPr>
          <w:rFonts w:hint="eastAsia" w:ascii="仿宋" w:hAnsi="仿宋"/>
        </w:rPr>
        <w:t xml:space="preserve">    （六）从事损害基金财产和投资者利益的投资活动；</w:t>
      </w:r>
    </w:p>
    <w:p>
      <w:pPr>
        <w:widowControl/>
        <w:spacing w:line="360" w:lineRule="auto"/>
        <w:jc w:val="left"/>
        <w:rPr>
          <w:rFonts w:ascii="仿宋" w:hAnsi="仿宋"/>
        </w:rPr>
      </w:pPr>
      <w:r>
        <w:rPr>
          <w:rFonts w:hint="eastAsia" w:ascii="仿宋" w:hAnsi="仿宋"/>
        </w:rPr>
        <w:t xml:space="preserve">    （七）玩忽职守，不按照规定履行职责；</w:t>
      </w:r>
    </w:p>
    <w:p>
      <w:pPr>
        <w:widowControl/>
        <w:spacing w:line="360" w:lineRule="auto"/>
        <w:jc w:val="left"/>
        <w:rPr>
          <w:rFonts w:ascii="仿宋" w:hAnsi="仿宋"/>
        </w:rPr>
      </w:pPr>
      <w:r>
        <w:rPr>
          <w:rFonts w:hint="eastAsia" w:ascii="仿宋" w:hAnsi="仿宋"/>
        </w:rPr>
        <w:t xml:space="preserve">    （八）从事内幕交易、操纵交易价格及其他不正当交易活动；</w:t>
      </w:r>
    </w:p>
    <w:p>
      <w:pPr>
        <w:widowControl/>
        <w:spacing w:line="360" w:lineRule="auto"/>
        <w:jc w:val="left"/>
        <w:rPr>
          <w:rFonts w:ascii="仿宋" w:hAnsi="仿宋"/>
        </w:rPr>
      </w:pPr>
      <w:r>
        <w:rPr>
          <w:rFonts w:hint="eastAsia" w:ascii="仿宋" w:hAnsi="仿宋"/>
        </w:rPr>
        <w:t xml:space="preserve">    （九）法律、行政法规和中国证监会规定禁止的其他行为。</w:t>
      </w:r>
    </w:p>
    <w:p>
      <w:pPr>
        <w:pStyle w:val="4"/>
        <w:rPr>
          <w:rFonts w:ascii="仿宋" w:hAnsi="仿宋"/>
          <w:szCs w:val="24"/>
        </w:rPr>
      </w:pPr>
      <w:bookmarkStart w:id="180" w:name="_Toc3896738"/>
      <w:r>
        <w:rPr>
          <w:rFonts w:hint="eastAsia" w:ascii="仿宋" w:hAnsi="仿宋"/>
          <w:szCs w:val="24"/>
        </w:rPr>
        <w:t>（十五）《境外交易者和境外经纪机构从事境内特定品种期货交易管理暂行办法》</w:t>
      </w:r>
      <w:bookmarkEnd w:id="180"/>
    </w:p>
    <w:p>
      <w:pPr>
        <w:pStyle w:val="5"/>
      </w:pPr>
      <w:r>
        <w:rPr>
          <w:rFonts w:hint="eastAsia"/>
        </w:rPr>
        <w:t>1、境内特定品种的确定及公布</w:t>
      </w:r>
    </w:p>
    <w:p>
      <w:pPr>
        <w:spacing w:line="360" w:lineRule="auto"/>
        <w:ind w:firstLine="480" w:firstLineChars="200"/>
        <w:rPr>
          <w:rFonts w:ascii="仿宋_GB2312" w:hAnsi="仿宋" w:cs="仿宋"/>
        </w:rPr>
      </w:pPr>
      <w:r>
        <w:rPr>
          <w:rFonts w:hint="eastAsia" w:ascii="仿宋_GB2312" w:hAnsi="仿宋" w:cs="仿宋"/>
        </w:rPr>
        <w:t>境内特定品种由中国证券监督管理委员会（以下简称中国证监会）确定并公布。</w:t>
      </w:r>
    </w:p>
    <w:p>
      <w:pPr>
        <w:spacing w:line="360" w:lineRule="auto"/>
        <w:ind w:firstLine="480" w:firstLineChars="200"/>
        <w:rPr>
          <w:rFonts w:ascii="仿宋_GB2312" w:hAnsi="仿宋" w:cs="仿宋"/>
        </w:rPr>
      </w:pPr>
      <w:r>
        <w:rPr>
          <w:rFonts w:hint="eastAsia" w:ascii="仿宋_GB2312" w:hAnsi="仿宋" w:cs="仿宋"/>
        </w:rPr>
        <w:t>依据：第二条第四款。</w:t>
      </w:r>
    </w:p>
    <w:p>
      <w:pPr>
        <w:spacing w:line="360" w:lineRule="auto"/>
        <w:ind w:firstLine="480" w:firstLineChars="200"/>
        <w:rPr>
          <w:rFonts w:ascii="仿宋_GB2312" w:hAnsi="仿宋" w:cs="仿宋"/>
        </w:rPr>
      </w:pPr>
      <w:r>
        <w:rPr>
          <w:rFonts w:hint="eastAsia" w:ascii="仿宋_GB2312" w:hAnsi="仿宋" w:cs="仿宋"/>
        </w:rPr>
        <w:t>第二条 境外交易者、境外经纪机构从事我国境内特定品种期货交易及其相关业务活动，应当遵守本办法。</w:t>
      </w:r>
    </w:p>
    <w:p>
      <w:pPr>
        <w:spacing w:line="360" w:lineRule="auto"/>
        <w:ind w:firstLine="480" w:firstLineChars="200"/>
        <w:rPr>
          <w:rFonts w:ascii="仿宋_GB2312" w:hAnsi="仿宋" w:cs="仿宋"/>
        </w:rPr>
      </w:pPr>
      <w:r>
        <w:rPr>
          <w:rFonts w:hint="eastAsia" w:ascii="仿宋_GB2312" w:hAnsi="仿宋" w:cs="仿宋"/>
        </w:rPr>
        <w:t>本办法所称境外交易者，是指从事期货交易并承担交易结果，在中华人民共和国境外依法成立的法人、其他经济组织，或者依法拥有境外公民身份的自然人。</w:t>
      </w:r>
    </w:p>
    <w:p>
      <w:pPr>
        <w:spacing w:line="360" w:lineRule="auto"/>
        <w:ind w:firstLine="480" w:firstLineChars="200"/>
        <w:rPr>
          <w:rFonts w:ascii="仿宋_GB2312" w:hAnsi="仿宋" w:cs="仿宋"/>
        </w:rPr>
      </w:pPr>
      <w:r>
        <w:rPr>
          <w:rFonts w:hint="eastAsia" w:ascii="仿宋_GB2312" w:hAnsi="仿宋" w:cs="仿宋"/>
        </w:rPr>
        <w:t>本办法所称境外经纪机构，是指在中华人民共和国境外依法设立、具有所在国（地区）期货监管机构认可的可以接受交易者资金和交易指令并以自己名义为交易者进行期货交易资质的金融机构。</w:t>
      </w:r>
    </w:p>
    <w:p>
      <w:pPr>
        <w:spacing w:line="360" w:lineRule="auto"/>
        <w:ind w:firstLine="480" w:firstLineChars="200"/>
        <w:rPr>
          <w:rFonts w:ascii="仿宋_GB2312" w:hAnsi="仿宋" w:cs="仿宋"/>
        </w:rPr>
      </w:pPr>
      <w:r>
        <w:rPr>
          <w:rFonts w:hint="eastAsia" w:ascii="仿宋_GB2312" w:hAnsi="仿宋" w:cs="仿宋"/>
        </w:rPr>
        <w:t>本办法所称境内特定品种由中国证券监督管理委员会（以下简称中国证监会）确定并公布。</w:t>
      </w:r>
    </w:p>
    <w:p>
      <w:pPr>
        <w:pStyle w:val="5"/>
      </w:pPr>
      <w:r>
        <w:rPr>
          <w:rFonts w:hint="eastAsia"/>
        </w:rPr>
        <w:t>2、境外交易者和境外经纪机构的法定义务</w:t>
      </w:r>
    </w:p>
    <w:p>
      <w:pPr>
        <w:spacing w:line="360" w:lineRule="auto"/>
        <w:ind w:firstLine="480" w:firstLineChars="200"/>
        <w:rPr>
          <w:rFonts w:ascii="仿宋_GB2312" w:hAnsi="仿宋" w:cs="仿宋"/>
        </w:rPr>
      </w:pPr>
      <w:r>
        <w:rPr>
          <w:rFonts w:hint="eastAsia" w:ascii="仿宋_GB2312" w:hAnsi="仿宋" w:cs="仿宋"/>
        </w:rPr>
        <w:t>境外交易者和境外经纪机构应当依法履行反洗钱、反恐融资、反逃税等义务。</w:t>
      </w:r>
    </w:p>
    <w:p>
      <w:pPr>
        <w:spacing w:line="360" w:lineRule="auto"/>
        <w:ind w:firstLine="480" w:firstLineChars="200"/>
        <w:rPr>
          <w:rFonts w:ascii="仿宋_GB2312" w:hAnsi="仿宋" w:cs="仿宋"/>
        </w:rPr>
      </w:pPr>
      <w:r>
        <w:rPr>
          <w:rFonts w:hint="eastAsia" w:ascii="仿宋_GB2312" w:hAnsi="仿宋" w:cs="仿宋"/>
        </w:rPr>
        <w:t>依据：第四条</w:t>
      </w:r>
    </w:p>
    <w:p>
      <w:pPr>
        <w:spacing w:line="360" w:lineRule="auto"/>
        <w:ind w:firstLine="480" w:firstLineChars="200"/>
        <w:rPr>
          <w:rFonts w:ascii="仿宋_GB2312" w:hAnsi="仿宋" w:cs="仿宋"/>
        </w:rPr>
      </w:pPr>
      <w:r>
        <w:rPr>
          <w:rFonts w:hint="eastAsia" w:ascii="仿宋_GB2312" w:hAnsi="仿宋" w:cs="仿宋"/>
        </w:rPr>
        <w:t>第四条 境外交易者和境外经纪机构应当遵守中华人民共和国法律法规和本办法，并履行反洗钱、反恐融资、反逃税等义务。</w:t>
      </w:r>
    </w:p>
    <w:p>
      <w:pPr>
        <w:pStyle w:val="5"/>
      </w:pPr>
      <w:r>
        <w:rPr>
          <w:rFonts w:hint="eastAsia"/>
        </w:rPr>
        <w:t>3、直接入场交易的境外交易者的条件</w:t>
      </w:r>
    </w:p>
    <w:p>
      <w:pPr>
        <w:spacing w:line="360" w:lineRule="auto"/>
        <w:ind w:firstLine="480" w:firstLineChars="200"/>
        <w:rPr>
          <w:rFonts w:ascii="仿宋_GB2312" w:hAnsi="仿宋" w:cs="仿宋"/>
        </w:rPr>
      </w:pPr>
      <w:r>
        <w:rPr>
          <w:rFonts w:hint="eastAsia" w:ascii="仿宋_GB2312" w:hAnsi="仿宋" w:cs="仿宋"/>
        </w:rPr>
        <w:t>直接入场交易的境外交易者应当具备下列条件：（一）所在国（地区）具有完善的法律和监管制度；（二）财务稳健，资信良好，具备充足的流动资本；（三）具有健全的治理结构和完善的内部控制制度，经营行为规范；（四）期货交易所规定的其他条件。</w:t>
      </w:r>
    </w:p>
    <w:p>
      <w:pPr>
        <w:spacing w:line="360" w:lineRule="auto"/>
        <w:ind w:firstLine="480" w:firstLineChars="200"/>
        <w:rPr>
          <w:rFonts w:ascii="仿宋_GB2312" w:hAnsi="仿宋" w:cs="仿宋"/>
        </w:rPr>
      </w:pPr>
      <w:r>
        <w:rPr>
          <w:rFonts w:hint="eastAsia" w:ascii="仿宋_GB2312" w:hAnsi="仿宋" w:cs="仿宋"/>
        </w:rPr>
        <w:t>依据：第五条</w:t>
      </w:r>
    </w:p>
    <w:p>
      <w:pPr>
        <w:spacing w:line="360" w:lineRule="auto"/>
        <w:ind w:firstLine="480" w:firstLineChars="200"/>
        <w:rPr>
          <w:rFonts w:ascii="仿宋_GB2312" w:hAnsi="仿宋" w:cs="仿宋"/>
        </w:rPr>
      </w:pPr>
      <w:r>
        <w:rPr>
          <w:rFonts w:hint="eastAsia" w:ascii="仿宋_GB2312" w:hAnsi="仿宋" w:cs="仿宋"/>
        </w:rPr>
        <w:t>第五条 境外交易者可以委托境内期货公司（以下简称期货公司)或者境外经纪机构参与境内特定品种期货交易。</w:t>
      </w:r>
    </w:p>
    <w:p>
      <w:pPr>
        <w:spacing w:line="360" w:lineRule="auto"/>
        <w:ind w:firstLine="480" w:firstLineChars="200"/>
        <w:rPr>
          <w:rFonts w:ascii="仿宋_GB2312" w:hAnsi="仿宋" w:cs="仿宋"/>
        </w:rPr>
      </w:pPr>
      <w:r>
        <w:rPr>
          <w:rFonts w:hint="eastAsia" w:ascii="仿宋_GB2312" w:hAnsi="仿宋" w:cs="仿宋"/>
        </w:rPr>
        <w:t>经期货交易所批准，符合条件的境外交易者可以直接在期货交易所从事境内特定品种期货交易。</w:t>
      </w:r>
    </w:p>
    <w:p>
      <w:pPr>
        <w:spacing w:line="360" w:lineRule="auto"/>
        <w:ind w:firstLine="480" w:firstLineChars="200"/>
        <w:rPr>
          <w:rFonts w:ascii="仿宋_GB2312" w:hAnsi="仿宋" w:cs="仿宋"/>
        </w:rPr>
      </w:pPr>
      <w:r>
        <w:rPr>
          <w:rFonts w:hint="eastAsia" w:ascii="仿宋_GB2312" w:hAnsi="仿宋" w:cs="仿宋"/>
        </w:rPr>
        <w:t>前款所述直接入场交易的境外交易者应当具备下列条件：</w:t>
      </w:r>
    </w:p>
    <w:p>
      <w:pPr>
        <w:spacing w:line="360" w:lineRule="auto"/>
        <w:ind w:firstLine="480" w:firstLineChars="200"/>
        <w:rPr>
          <w:rFonts w:ascii="仿宋_GB2312" w:hAnsi="仿宋" w:cs="仿宋"/>
        </w:rPr>
      </w:pPr>
      <w:r>
        <w:rPr>
          <w:rFonts w:hint="eastAsia" w:ascii="仿宋_GB2312" w:hAnsi="仿宋" w:cs="仿宋"/>
        </w:rPr>
        <w:t>（一）所在国（地区）具有完善的法律和监管制度；</w:t>
      </w:r>
    </w:p>
    <w:p>
      <w:pPr>
        <w:spacing w:line="360" w:lineRule="auto"/>
        <w:ind w:firstLine="480" w:firstLineChars="200"/>
        <w:rPr>
          <w:rFonts w:ascii="仿宋_GB2312" w:hAnsi="仿宋" w:cs="仿宋"/>
        </w:rPr>
      </w:pPr>
      <w:r>
        <w:rPr>
          <w:rFonts w:hint="eastAsia" w:ascii="仿宋_GB2312" w:hAnsi="仿宋" w:cs="仿宋"/>
        </w:rPr>
        <w:t>（二）财务稳健，资信良好，具备充足的流动资本；</w:t>
      </w:r>
    </w:p>
    <w:p>
      <w:pPr>
        <w:spacing w:line="360" w:lineRule="auto"/>
        <w:rPr>
          <w:rFonts w:ascii="仿宋_GB2312" w:hAnsi="仿宋" w:cs="仿宋"/>
        </w:rPr>
      </w:pPr>
      <w:r>
        <w:rPr>
          <w:rFonts w:hint="eastAsia" w:ascii="仿宋_GB2312" w:hAnsi="仿宋" w:cs="仿宋"/>
        </w:rPr>
        <w:tab/>
      </w:r>
      <w:r>
        <w:rPr>
          <w:rFonts w:hint="eastAsia" w:ascii="仿宋_GB2312" w:hAnsi="仿宋" w:cs="仿宋"/>
        </w:rPr>
        <w:t>（三）具有健全的治理结构和完善的内部控制制度，经营行为规范；</w:t>
      </w:r>
    </w:p>
    <w:p>
      <w:pPr>
        <w:spacing w:line="360" w:lineRule="auto"/>
        <w:rPr>
          <w:rFonts w:ascii="仿宋_GB2312" w:hAnsi="仿宋" w:cs="仿宋"/>
        </w:rPr>
      </w:pPr>
      <w:r>
        <w:rPr>
          <w:rFonts w:hint="eastAsia" w:ascii="仿宋_GB2312" w:hAnsi="仿宋" w:cs="仿宋"/>
        </w:rPr>
        <w:tab/>
      </w:r>
      <w:r>
        <w:rPr>
          <w:rFonts w:hint="eastAsia" w:ascii="仿宋_GB2312" w:hAnsi="仿宋" w:cs="仿宋"/>
        </w:rPr>
        <w:t>（四）期货交易所规定的其他条件。</w:t>
      </w:r>
    </w:p>
    <w:p>
      <w:pPr>
        <w:spacing w:line="360" w:lineRule="auto"/>
        <w:ind w:firstLine="480" w:firstLineChars="200"/>
        <w:rPr>
          <w:rFonts w:ascii="仿宋_GB2312" w:hAnsi="仿宋" w:cs="仿宋"/>
        </w:rPr>
      </w:pPr>
      <w:r>
        <w:rPr>
          <w:rFonts w:hint="eastAsia" w:ascii="仿宋_GB2312" w:hAnsi="仿宋" w:cs="仿宋"/>
        </w:rPr>
        <w:tab/>
      </w:r>
    </w:p>
    <w:p>
      <w:pPr>
        <w:pStyle w:val="5"/>
      </w:pPr>
      <w:r>
        <w:rPr>
          <w:rFonts w:hint="eastAsia"/>
        </w:rPr>
        <w:t>4、境外经纪机构直接入场交易及委托期货公司入场交易</w:t>
      </w:r>
    </w:p>
    <w:p>
      <w:pPr>
        <w:spacing w:line="360" w:lineRule="auto"/>
        <w:ind w:firstLine="480" w:firstLineChars="200"/>
        <w:rPr>
          <w:rFonts w:ascii="仿宋_GB2312" w:hAnsi="仿宋" w:cs="仿宋"/>
        </w:rPr>
      </w:pPr>
      <w:r>
        <w:rPr>
          <w:rFonts w:hint="eastAsia" w:ascii="仿宋_GB2312" w:hAnsi="仿宋" w:cs="仿宋"/>
        </w:rPr>
        <w:t>经期货交易所批准，符合条件的境外经纪机构可以接受境外交易者委托，直接在期货交易所以自己的名义为境外交易者进行境内特定品种期货交易。</w:t>
      </w:r>
    </w:p>
    <w:p>
      <w:pPr>
        <w:spacing w:line="360" w:lineRule="auto"/>
        <w:ind w:firstLine="480" w:firstLineChars="200"/>
        <w:rPr>
          <w:rFonts w:ascii="仿宋_GB2312" w:hAnsi="仿宋" w:cs="仿宋"/>
        </w:rPr>
      </w:pPr>
      <w:r>
        <w:rPr>
          <w:rFonts w:hint="eastAsia" w:ascii="仿宋_GB2312" w:hAnsi="仿宋" w:cs="仿宋"/>
        </w:rPr>
        <w:t>境外经纪机构在接受境外交易者委托后，可以委托期货公司进行境内特定品种期货交易。期货公司接受委托后，以自己的名义为该境外经纪机构进行交易。</w:t>
      </w:r>
    </w:p>
    <w:p>
      <w:pPr>
        <w:spacing w:line="360" w:lineRule="auto"/>
        <w:ind w:firstLine="480" w:firstLineChars="200"/>
        <w:rPr>
          <w:rFonts w:ascii="仿宋_GB2312" w:hAnsi="仿宋" w:cs="仿宋"/>
        </w:rPr>
      </w:pPr>
      <w:r>
        <w:rPr>
          <w:rFonts w:hint="eastAsia" w:ascii="仿宋_GB2312" w:hAnsi="仿宋" w:cs="仿宋"/>
        </w:rPr>
        <w:t>依据：第六条</w:t>
      </w:r>
    </w:p>
    <w:p>
      <w:pPr>
        <w:spacing w:line="360" w:lineRule="auto"/>
        <w:ind w:firstLine="480" w:firstLineChars="200"/>
        <w:rPr>
          <w:rFonts w:ascii="仿宋_GB2312" w:hAnsi="仿宋" w:cs="仿宋"/>
        </w:rPr>
      </w:pPr>
      <w:r>
        <w:rPr>
          <w:rFonts w:hint="eastAsia" w:ascii="仿宋_GB2312" w:hAnsi="仿宋" w:cs="仿宋"/>
        </w:rPr>
        <w:t>第六条 境外经纪机构在接受境外交易者委托后，可以委托期货公司进行境内特定品种期货交易。期货公司接受委托后，以自己的名义为该境外经纪机构进行交易。</w:t>
      </w:r>
    </w:p>
    <w:p>
      <w:pPr>
        <w:spacing w:line="360" w:lineRule="auto"/>
        <w:ind w:firstLine="480" w:firstLineChars="200"/>
        <w:rPr>
          <w:rFonts w:ascii="仿宋_GB2312" w:hAnsi="仿宋" w:cs="仿宋"/>
        </w:rPr>
      </w:pPr>
      <w:r>
        <w:rPr>
          <w:rFonts w:hint="eastAsia" w:ascii="仿宋_GB2312" w:hAnsi="仿宋" w:cs="仿宋"/>
        </w:rPr>
        <w:t>经期货交易所批准，符合条件的境外经纪机构可以接受境外交易者委托，直接在期货交易所以自己的名义为境外交易者进行境内特定品种期货交易。</w:t>
      </w:r>
    </w:p>
    <w:p>
      <w:pPr>
        <w:spacing w:line="360" w:lineRule="auto"/>
        <w:ind w:firstLine="480" w:firstLineChars="200"/>
        <w:rPr>
          <w:rFonts w:ascii="仿宋_GB2312" w:hAnsi="仿宋" w:cs="仿宋"/>
        </w:rPr>
      </w:pPr>
      <w:r>
        <w:rPr>
          <w:rFonts w:hint="eastAsia" w:ascii="仿宋_GB2312" w:hAnsi="仿宋" w:cs="仿宋"/>
        </w:rPr>
        <w:t>前款所述直接入场交易的境外经纪机构应当符合本办法第五条第三款的规定，且其所在国（地区）期货监管机构已与中国证监会签署监管合作谅解备忘录。</w:t>
      </w:r>
    </w:p>
    <w:p>
      <w:pPr>
        <w:pStyle w:val="5"/>
      </w:pPr>
      <w:r>
        <w:rPr>
          <w:rFonts w:hint="eastAsia"/>
        </w:rPr>
        <w:t>5、境外交易者的开户材料</w:t>
      </w:r>
    </w:p>
    <w:p>
      <w:pPr>
        <w:spacing w:line="360" w:lineRule="auto"/>
        <w:ind w:firstLine="480" w:firstLineChars="200"/>
        <w:rPr>
          <w:rFonts w:ascii="仿宋_GB2312" w:hAnsi="仿宋" w:cs="仿宋"/>
        </w:rPr>
      </w:pPr>
      <w:r>
        <w:rPr>
          <w:rFonts w:hint="eastAsia" w:ascii="仿宋_GB2312" w:hAnsi="仿宋" w:cs="仿宋"/>
        </w:rPr>
        <w:t>境外交易者应当以真实合法身份办理开户，如实提供境外公民身份证明、境外法人资格或者其他经济组织资格的合法有效证明文件。</w:t>
      </w:r>
    </w:p>
    <w:p>
      <w:pPr>
        <w:spacing w:line="360" w:lineRule="auto"/>
        <w:ind w:firstLine="480" w:firstLineChars="200"/>
        <w:rPr>
          <w:rFonts w:ascii="仿宋_GB2312" w:hAnsi="仿宋" w:cs="仿宋"/>
        </w:rPr>
      </w:pPr>
      <w:r>
        <w:rPr>
          <w:rFonts w:hint="eastAsia" w:ascii="仿宋_GB2312" w:hAnsi="仿宋" w:cs="仿宋"/>
        </w:rPr>
        <w:t>依据：第十条。</w:t>
      </w:r>
    </w:p>
    <w:p>
      <w:pPr>
        <w:spacing w:line="360" w:lineRule="auto"/>
        <w:ind w:firstLine="480" w:firstLineChars="200"/>
        <w:rPr>
          <w:rFonts w:ascii="仿宋_GB2312" w:hAnsi="仿宋" w:cs="仿宋"/>
        </w:rPr>
      </w:pPr>
      <w:r>
        <w:rPr>
          <w:rFonts w:hint="eastAsia" w:ascii="仿宋_GB2312" w:hAnsi="仿宋" w:cs="仿宋"/>
        </w:rPr>
        <w:t>第十条 境外交易者应当以真实合法身份办理开户，如实提供境外公民身份证明、境外法人资格或者其他经济组织资格的合法有效证明文件。境外交易者的身份证明文件及要求由中国期货市场监控中心有限责任公司另行规定。</w:t>
      </w:r>
    </w:p>
    <w:p>
      <w:pPr>
        <w:pStyle w:val="5"/>
      </w:pPr>
      <w:r>
        <w:rPr>
          <w:rFonts w:hint="eastAsia"/>
        </w:rPr>
        <w:t>6、境内特定品种期货交易的交易者适当性制度</w:t>
      </w:r>
    </w:p>
    <w:p>
      <w:pPr>
        <w:spacing w:line="360" w:lineRule="auto"/>
        <w:ind w:firstLine="480" w:firstLineChars="200"/>
        <w:rPr>
          <w:rFonts w:ascii="仿宋_GB2312" w:hAnsi="仿宋" w:cs="仿宋"/>
        </w:rPr>
      </w:pPr>
      <w:r>
        <w:rPr>
          <w:rFonts w:hint="eastAsia" w:ascii="仿宋_GB2312" w:hAnsi="仿宋" w:cs="仿宋"/>
        </w:rPr>
        <w:t>境内特定品种期货交易实行交易者适当性制度。期货交易所、期货公司和境外经纪机构应当执行交易者适当性制度。境外交易者应当遵守交易者适当性制度。</w:t>
      </w:r>
    </w:p>
    <w:p>
      <w:pPr>
        <w:spacing w:line="360" w:lineRule="auto"/>
        <w:ind w:firstLine="480" w:firstLineChars="200"/>
        <w:rPr>
          <w:rFonts w:ascii="仿宋_GB2312" w:hAnsi="仿宋" w:cs="仿宋"/>
        </w:rPr>
      </w:pPr>
      <w:r>
        <w:rPr>
          <w:rFonts w:hint="eastAsia" w:ascii="仿宋_GB2312" w:hAnsi="仿宋" w:cs="仿宋"/>
        </w:rPr>
        <w:t>依据：第十二条</w:t>
      </w:r>
    </w:p>
    <w:p>
      <w:pPr>
        <w:spacing w:line="360" w:lineRule="auto"/>
        <w:ind w:firstLine="480" w:firstLineChars="200"/>
        <w:rPr>
          <w:rFonts w:ascii="仿宋_GB2312" w:hAnsi="仿宋" w:cs="仿宋"/>
        </w:rPr>
      </w:pPr>
      <w:r>
        <w:rPr>
          <w:rFonts w:hint="eastAsia" w:ascii="仿宋_GB2312" w:hAnsi="仿宋" w:cs="仿宋"/>
        </w:rPr>
        <w:t>第十二条 境内特定品种期货交易实行交易者适当性制度。期货交易所、期货公司和境外经纪机构应当执行交易者适当性制度。境外交易者应当遵守交易者适当性制度。</w:t>
      </w:r>
    </w:p>
    <w:p>
      <w:pPr>
        <w:pStyle w:val="5"/>
      </w:pPr>
      <w:r>
        <w:rPr>
          <w:rFonts w:hint="eastAsia"/>
        </w:rPr>
        <w:t>7、境外交易者和境外经纪机构的持仓报告义务</w:t>
      </w:r>
    </w:p>
    <w:p>
      <w:pPr>
        <w:spacing w:line="360" w:lineRule="auto"/>
        <w:ind w:firstLine="480" w:firstLineChars="200"/>
        <w:rPr>
          <w:rFonts w:ascii="仿宋_GB2312" w:hAnsi="仿宋" w:cs="仿宋"/>
        </w:rPr>
      </w:pPr>
      <w:r>
        <w:rPr>
          <w:rFonts w:hint="eastAsia" w:ascii="仿宋_GB2312" w:hAnsi="仿宋" w:cs="仿宋"/>
        </w:rPr>
        <w:t>境外交易者和境外经纪机构持仓达到期货交易所规定的持仓报告标准的，境外交易者和境外经纪机构应当向期货交易所报告。</w:t>
      </w:r>
    </w:p>
    <w:p>
      <w:pPr>
        <w:spacing w:line="360" w:lineRule="auto"/>
        <w:ind w:firstLine="480" w:firstLineChars="200"/>
        <w:rPr>
          <w:rFonts w:ascii="仿宋_GB2312" w:hAnsi="仿宋" w:cs="仿宋"/>
        </w:rPr>
      </w:pPr>
      <w:r>
        <w:rPr>
          <w:rFonts w:hint="eastAsia" w:ascii="仿宋_GB2312" w:hAnsi="仿宋" w:cs="仿宋"/>
        </w:rPr>
        <w:t>依据：第十八条</w:t>
      </w:r>
    </w:p>
    <w:p>
      <w:pPr>
        <w:spacing w:line="360" w:lineRule="auto"/>
        <w:ind w:firstLine="480" w:firstLineChars="200"/>
        <w:rPr>
          <w:rFonts w:ascii="仿宋_GB2312" w:hAnsi="仿宋" w:cs="仿宋"/>
        </w:rPr>
      </w:pPr>
      <w:r>
        <w:rPr>
          <w:rFonts w:hint="eastAsia" w:ascii="仿宋_GB2312" w:hAnsi="仿宋" w:cs="仿宋"/>
        </w:rPr>
        <w:t>第十八条 境外交易者和境外经纪机构持仓达到期货交易所规定的持仓报告标准的，境外交易者和境外经纪机构应当向期货交易所报告。境外交易者未报告的，受托交易的期货公司、境外经纪机构应当向期货交易所报告。</w:t>
      </w:r>
    </w:p>
    <w:p>
      <w:pPr>
        <w:pStyle w:val="5"/>
      </w:pPr>
      <w:r>
        <w:rPr>
          <w:rFonts w:hint="eastAsia"/>
        </w:rPr>
        <w:t>8、期货公司的交易报送义务和相关义务负责人</w:t>
      </w:r>
    </w:p>
    <w:p>
      <w:pPr>
        <w:spacing w:line="360" w:lineRule="auto"/>
        <w:ind w:firstLine="480" w:firstLineChars="200"/>
        <w:rPr>
          <w:rFonts w:ascii="仿宋_GB2312" w:hAnsi="仿宋" w:cs="仿宋"/>
        </w:rPr>
      </w:pPr>
      <w:r>
        <w:rPr>
          <w:rFonts w:hint="eastAsia" w:ascii="仿宋_GB2312" w:hAnsi="仿宋" w:cs="仿宋"/>
        </w:rPr>
        <w:t>期货公司应当在月度、年度报告中报送接受境外交易者和境外经纪机构委托进行境内特定品种期货交易的情况。期货公司首席风险官应当负责对本公司境内特定品种期货交易相关业务活动进行监督和检查，并履行督促整改和报告等义务。</w:t>
      </w:r>
    </w:p>
    <w:p>
      <w:pPr>
        <w:spacing w:line="360" w:lineRule="auto"/>
        <w:ind w:firstLine="480" w:firstLineChars="200"/>
        <w:rPr>
          <w:rFonts w:ascii="仿宋_GB2312" w:hAnsi="仿宋" w:cs="仿宋"/>
        </w:rPr>
      </w:pPr>
      <w:r>
        <w:rPr>
          <w:rFonts w:hint="eastAsia" w:ascii="仿宋_GB2312" w:hAnsi="仿宋" w:cs="仿宋"/>
        </w:rPr>
        <w:t>依据：第二十二条</w:t>
      </w:r>
    </w:p>
    <w:p>
      <w:pPr>
        <w:spacing w:line="360" w:lineRule="auto"/>
        <w:ind w:firstLine="480" w:firstLineChars="200"/>
        <w:rPr>
          <w:rFonts w:ascii="仿宋_GB2312" w:hAnsi="仿宋" w:cs="仿宋"/>
        </w:rPr>
      </w:pPr>
      <w:r>
        <w:rPr>
          <w:rFonts w:hint="eastAsia" w:ascii="仿宋_GB2312" w:hAnsi="仿宋" w:cs="仿宋"/>
        </w:rPr>
        <w:t>第二十二条 期货公司应当在月度、年度报告中报送接受境外交易者和境外经纪机构委托进行境内特定品种期货交易的情况。</w:t>
      </w:r>
    </w:p>
    <w:p>
      <w:pPr>
        <w:spacing w:line="360" w:lineRule="auto"/>
        <w:ind w:firstLine="480" w:firstLineChars="200"/>
        <w:rPr>
          <w:rFonts w:ascii="仿宋_GB2312" w:hAnsi="仿宋" w:cs="仿宋"/>
        </w:rPr>
      </w:pPr>
      <w:r>
        <w:rPr>
          <w:rFonts w:hint="eastAsia" w:ascii="仿宋_GB2312" w:hAnsi="仿宋" w:cs="仿宋"/>
        </w:rPr>
        <w:t>期货公司首席风险官应当负责对本公司境内特定品种期货交易相关业务活动进行监督和检查，并履行督促整改和报告等义务。</w:t>
      </w:r>
    </w:p>
    <w:p>
      <w:pPr>
        <w:pStyle w:val="5"/>
      </w:pPr>
      <w:r>
        <w:rPr>
          <w:rFonts w:hint="eastAsia"/>
        </w:rPr>
        <w:t>9、期货公司、境外交易者和境外经纪机构的信息或者书面资料报送、配合询问及检查义务</w:t>
      </w:r>
    </w:p>
    <w:p>
      <w:pPr>
        <w:spacing w:line="360" w:lineRule="auto"/>
        <w:ind w:firstLine="480" w:firstLineChars="200"/>
        <w:rPr>
          <w:rFonts w:ascii="仿宋_GB2312" w:hAnsi="仿宋" w:cs="仿宋"/>
        </w:rPr>
      </w:pPr>
      <w:r>
        <w:rPr>
          <w:rFonts w:hint="eastAsia" w:ascii="仿宋_GB2312" w:hAnsi="仿宋" w:cs="仿宋"/>
        </w:rPr>
        <w:t>中国证监会及其派出机构可以根据监管职责要求期货公司、境外交易者和境外经纪机构提供以下信息或者书面资料，并进行必要的询问和检查。（一）境外交易者和境外经纪机构的账户、所有子账户的最终受益人姓名（名称）、国籍、有效身份证件（号码）、联系方式及相关信息、资金来源等；（二）境外交易者和境外经纪机构的账户、所有子账户的指令下达人姓名、国籍、有效身份证件（号码）、联系方式及相关信息等；（三）境外交易者和境外经纪机构的账户、所有子账户资金划拨、使用的明细资料；（四）境外交易者和境外经纪机构的账户、所有子账户交易的明细资料；（五）中国证监会根据审慎监管原则要求的其他材料。</w:t>
      </w:r>
    </w:p>
    <w:p>
      <w:pPr>
        <w:spacing w:line="360" w:lineRule="auto"/>
        <w:ind w:firstLine="480" w:firstLineChars="200"/>
        <w:rPr>
          <w:rFonts w:ascii="仿宋_GB2312" w:hAnsi="仿宋" w:cs="仿宋"/>
        </w:rPr>
      </w:pPr>
      <w:r>
        <w:rPr>
          <w:rFonts w:hint="eastAsia" w:ascii="仿宋_GB2312" w:hAnsi="仿宋" w:cs="仿宋"/>
        </w:rPr>
        <w:t>依据：第二十三条</w:t>
      </w:r>
    </w:p>
    <w:p>
      <w:pPr>
        <w:spacing w:line="360" w:lineRule="auto"/>
        <w:ind w:firstLine="480" w:firstLineChars="200"/>
        <w:rPr>
          <w:rFonts w:ascii="仿宋_GB2312" w:hAnsi="仿宋" w:cs="仿宋"/>
        </w:rPr>
      </w:pPr>
      <w:r>
        <w:rPr>
          <w:rFonts w:hint="eastAsia" w:ascii="仿宋_GB2312" w:hAnsi="仿宋" w:cs="仿宋"/>
        </w:rPr>
        <w:t>第二十三条 中国证监会及其派出机构可以根据监管职责要求期货公司、境外交易者和境外经纪机构提供下列信息或者书面资料，并进行必要的询问和检查：</w:t>
      </w:r>
    </w:p>
    <w:p>
      <w:pPr>
        <w:spacing w:line="360" w:lineRule="auto"/>
        <w:ind w:firstLine="480" w:firstLineChars="200"/>
        <w:rPr>
          <w:rFonts w:ascii="仿宋_GB2312" w:hAnsi="仿宋" w:cs="仿宋"/>
        </w:rPr>
      </w:pPr>
      <w:r>
        <w:rPr>
          <w:rFonts w:hint="eastAsia" w:ascii="仿宋_GB2312" w:hAnsi="仿宋" w:cs="仿宋"/>
        </w:rPr>
        <w:t>（一）境外交易者和境外经纪机构的账户、所有子账户的最终受益人姓名（名称）、国籍、有效身份证件（号码）、联系方式及相关信息、资金来源等；</w:t>
      </w:r>
    </w:p>
    <w:p>
      <w:pPr>
        <w:spacing w:line="360" w:lineRule="auto"/>
        <w:ind w:firstLine="480" w:firstLineChars="200"/>
        <w:rPr>
          <w:rFonts w:ascii="仿宋_GB2312" w:hAnsi="仿宋" w:cs="仿宋"/>
        </w:rPr>
      </w:pPr>
      <w:r>
        <w:rPr>
          <w:rFonts w:hint="eastAsia" w:ascii="仿宋_GB2312" w:hAnsi="仿宋" w:cs="仿宋"/>
        </w:rPr>
        <w:t>（二）境外交易者和境外经纪机构的账户、所有子账户的指令下达人姓名、国籍、有效身份证件（号码）、联系方式及相关信息等；</w:t>
      </w:r>
    </w:p>
    <w:p>
      <w:pPr>
        <w:spacing w:line="360" w:lineRule="auto"/>
        <w:ind w:firstLine="480" w:firstLineChars="200"/>
        <w:rPr>
          <w:rFonts w:ascii="仿宋_GB2312" w:hAnsi="仿宋" w:cs="仿宋"/>
        </w:rPr>
      </w:pPr>
      <w:r>
        <w:rPr>
          <w:rFonts w:hint="eastAsia" w:ascii="仿宋_GB2312" w:hAnsi="仿宋" w:cs="仿宋"/>
        </w:rPr>
        <w:t>（三）境外交易者和境外经纪机构的账户、所有子账户资金划拨、使用的明细资料；</w:t>
      </w:r>
    </w:p>
    <w:p>
      <w:pPr>
        <w:spacing w:line="360" w:lineRule="auto"/>
        <w:ind w:firstLine="480" w:firstLineChars="200"/>
        <w:rPr>
          <w:rFonts w:ascii="仿宋_GB2312" w:hAnsi="仿宋" w:cs="仿宋"/>
        </w:rPr>
      </w:pPr>
      <w:r>
        <w:rPr>
          <w:rFonts w:hint="eastAsia" w:ascii="仿宋_GB2312" w:hAnsi="仿宋" w:cs="仿宋"/>
        </w:rPr>
        <w:t>（四）境外交易者和境外经纪机构的账户、所有子账户交易的明细资料；</w:t>
      </w:r>
    </w:p>
    <w:p>
      <w:pPr>
        <w:spacing w:line="360" w:lineRule="auto"/>
        <w:ind w:firstLine="480" w:firstLineChars="200"/>
        <w:rPr>
          <w:rFonts w:ascii="仿宋_GB2312" w:hAnsi="仿宋" w:cs="仿宋"/>
        </w:rPr>
      </w:pPr>
      <w:r>
        <w:rPr>
          <w:rFonts w:hint="eastAsia" w:ascii="仿宋_GB2312" w:hAnsi="仿宋" w:cs="仿宋"/>
        </w:rPr>
        <w:t>（五）中国证监会根据审慎监管原则要求的其他材料。</w:t>
      </w:r>
    </w:p>
    <w:p>
      <w:pPr>
        <w:pStyle w:val="3"/>
        <w:rPr>
          <w:sz w:val="24"/>
          <w:szCs w:val="24"/>
        </w:rPr>
      </w:pPr>
      <w:bookmarkStart w:id="181" w:name="_Toc404963375"/>
      <w:bookmarkStart w:id="182" w:name="_Toc445043912"/>
      <w:bookmarkStart w:id="183" w:name="_Toc3896739"/>
      <w:r>
        <w:rPr>
          <w:rFonts w:hint="eastAsia"/>
          <w:sz w:val="24"/>
          <w:szCs w:val="24"/>
        </w:rPr>
        <w:t>三、协会自律规则</w:t>
      </w:r>
      <w:bookmarkEnd w:id="181"/>
      <w:bookmarkEnd w:id="182"/>
      <w:bookmarkEnd w:id="183"/>
    </w:p>
    <w:p>
      <w:pPr>
        <w:pStyle w:val="4"/>
        <w:spacing w:before="240"/>
        <w:rPr>
          <w:rFonts w:ascii="仿宋" w:hAnsi="仿宋"/>
          <w:kern w:val="0"/>
          <w:szCs w:val="24"/>
        </w:rPr>
      </w:pPr>
      <w:bookmarkStart w:id="184" w:name="_Toc3896740"/>
      <w:bookmarkStart w:id="185" w:name="_Toc404963376"/>
      <w:bookmarkStart w:id="186" w:name="_Toc445043913"/>
      <w:r>
        <w:rPr>
          <w:rFonts w:hint="eastAsia" w:ascii="仿宋" w:hAnsi="仿宋"/>
          <w:szCs w:val="24"/>
        </w:rPr>
        <w:t>（一）《</w:t>
      </w:r>
      <w:r>
        <w:rPr>
          <w:rFonts w:hint="eastAsia" w:ascii="仿宋" w:hAnsi="仿宋"/>
          <w:kern w:val="0"/>
          <w:szCs w:val="24"/>
        </w:rPr>
        <w:t>期货经营机构投资者适当性管理实施指引（试行）</w:t>
      </w:r>
      <w:r>
        <w:rPr>
          <w:rFonts w:hint="eastAsia" w:ascii="仿宋" w:hAnsi="仿宋"/>
          <w:szCs w:val="24"/>
        </w:rPr>
        <w:t>》</w:t>
      </w:r>
      <w:bookmarkEnd w:id="184"/>
    </w:p>
    <w:p>
      <w:pPr>
        <w:pStyle w:val="5"/>
      </w:pPr>
      <w:r>
        <w:rPr>
          <w:rFonts w:hint="eastAsia"/>
        </w:rPr>
        <w:t>1、期货普通投资者风险等级至少划分为五类</w:t>
      </w:r>
    </w:p>
    <w:p>
      <w:pPr>
        <w:spacing w:line="360" w:lineRule="auto"/>
        <w:ind w:firstLine="480" w:firstLineChars="200"/>
        <w:rPr>
          <w:rFonts w:ascii="仿宋" w:hAnsi="仿宋"/>
        </w:rPr>
      </w:pPr>
      <w:r>
        <w:rPr>
          <w:rFonts w:hint="eastAsia" w:ascii="仿宋" w:hAnsi="仿宋"/>
        </w:rPr>
        <w:t>依据：第十条</w:t>
      </w:r>
    </w:p>
    <w:p>
      <w:pPr>
        <w:spacing w:line="360" w:lineRule="auto"/>
        <w:ind w:firstLine="480" w:firstLineChars="200"/>
        <w:rPr>
          <w:rFonts w:ascii="仿宋" w:hAnsi="仿宋"/>
        </w:rPr>
      </w:pPr>
      <w:r>
        <w:rPr>
          <w:rFonts w:hint="eastAsia" w:ascii="仿宋" w:hAnsi="仿宋"/>
        </w:rPr>
        <w:t>第十条 经营机构应当将普通投资者按其风险承受能力至少划分为五类，由低至高分别为Ｃ1（含风险承受能力最低类别）、Ｃ2、Ｃ3、Ｃ4、Ｃ5类。</w:t>
      </w:r>
    </w:p>
    <w:p>
      <w:pPr>
        <w:pStyle w:val="5"/>
      </w:pPr>
      <w:r>
        <w:rPr>
          <w:rFonts w:hint="eastAsia"/>
        </w:rPr>
        <w:t>2、符合风险承受能力最低类别的投资者的情形</w:t>
      </w:r>
    </w:p>
    <w:p>
      <w:pPr>
        <w:spacing w:line="360" w:lineRule="auto"/>
        <w:ind w:firstLine="480" w:firstLineChars="200"/>
        <w:rPr>
          <w:rFonts w:ascii="仿宋" w:hAnsi="仿宋"/>
        </w:rPr>
      </w:pPr>
      <w:r>
        <w:rPr>
          <w:rFonts w:hint="eastAsia" w:ascii="仿宋" w:hAnsi="仿宋"/>
        </w:rPr>
        <w:t>依据：第十二条</w:t>
      </w:r>
    </w:p>
    <w:p>
      <w:pPr>
        <w:spacing w:line="360" w:lineRule="auto"/>
        <w:ind w:firstLine="480" w:firstLineChars="200"/>
        <w:rPr>
          <w:rFonts w:ascii="仿宋" w:hAnsi="仿宋"/>
        </w:rPr>
      </w:pPr>
      <w:r>
        <w:rPr>
          <w:rFonts w:hint="eastAsia" w:ascii="仿宋" w:hAnsi="仿宋"/>
        </w:rPr>
        <w:t>第十二条 风险承受能力经评估为C1类的自然人投资者，符合以下情形之一的，经营机构可以将其认定为风险承受能力最低类别的投资者：</w:t>
      </w:r>
    </w:p>
    <w:p>
      <w:pPr>
        <w:spacing w:line="360" w:lineRule="auto"/>
        <w:ind w:firstLine="480" w:firstLineChars="200"/>
        <w:rPr>
          <w:rFonts w:ascii="仿宋" w:hAnsi="仿宋"/>
        </w:rPr>
      </w:pPr>
      <w:r>
        <w:rPr>
          <w:rFonts w:hint="eastAsia" w:ascii="仿宋" w:hAnsi="仿宋"/>
        </w:rPr>
        <w:t>（一）不具有完全民事行为能力；</w:t>
      </w:r>
    </w:p>
    <w:p>
      <w:pPr>
        <w:spacing w:line="360" w:lineRule="auto"/>
        <w:ind w:firstLine="480" w:firstLineChars="200"/>
        <w:rPr>
          <w:rFonts w:ascii="仿宋" w:hAnsi="仿宋"/>
        </w:rPr>
      </w:pPr>
      <w:r>
        <w:rPr>
          <w:rFonts w:hint="eastAsia" w:ascii="仿宋" w:hAnsi="仿宋"/>
        </w:rPr>
        <w:t>（二）没有风险容忍度或者不愿承受任何投资损失；</w:t>
      </w:r>
    </w:p>
    <w:p>
      <w:pPr>
        <w:spacing w:line="360" w:lineRule="auto"/>
        <w:ind w:firstLine="480" w:firstLineChars="200"/>
        <w:rPr>
          <w:rFonts w:ascii="仿宋" w:hAnsi="仿宋"/>
        </w:rPr>
      </w:pPr>
      <w:r>
        <w:rPr>
          <w:rFonts w:hint="eastAsia" w:ascii="仿宋" w:hAnsi="仿宋"/>
        </w:rPr>
        <w:t>（三）法律、行政法规规定的其他情形。</w:t>
      </w:r>
    </w:p>
    <w:p>
      <w:pPr>
        <w:pStyle w:val="5"/>
      </w:pPr>
      <w:r>
        <w:rPr>
          <w:rFonts w:hint="eastAsia"/>
        </w:rPr>
        <w:t>3、期货行业产品或服务的风险等级原则上划分为五级，以及高风险等级产品或服务的设定</w:t>
      </w:r>
    </w:p>
    <w:p>
      <w:pPr>
        <w:spacing w:line="360" w:lineRule="auto"/>
        <w:ind w:firstLine="480" w:firstLineChars="200"/>
        <w:rPr>
          <w:rFonts w:ascii="仿宋" w:hAnsi="仿宋"/>
        </w:rPr>
      </w:pPr>
      <w:r>
        <w:rPr>
          <w:rFonts w:hint="eastAsia" w:ascii="仿宋" w:hAnsi="仿宋"/>
        </w:rPr>
        <w:t>依据：第十九条</w:t>
      </w:r>
    </w:p>
    <w:p>
      <w:pPr>
        <w:spacing w:line="360" w:lineRule="auto"/>
        <w:ind w:firstLine="480" w:firstLineChars="200"/>
        <w:rPr>
          <w:rFonts w:ascii="仿宋" w:hAnsi="仿宋"/>
        </w:rPr>
      </w:pPr>
      <w:r>
        <w:rPr>
          <w:rFonts w:hint="eastAsia" w:ascii="仿宋" w:hAnsi="仿宋"/>
        </w:rPr>
        <w:t>第十九条 期货行业产品或服务的风险等级原则上由低到高划分为五级，分别为R1、R2、R3、R4、R5级。</w:t>
      </w:r>
    </w:p>
    <w:p>
      <w:pPr>
        <w:spacing w:line="360" w:lineRule="auto"/>
        <w:ind w:firstLine="480" w:firstLineChars="200"/>
        <w:rPr>
          <w:rFonts w:ascii="仿宋" w:hAnsi="仿宋"/>
        </w:rPr>
      </w:pPr>
      <w:r>
        <w:rPr>
          <w:rFonts w:hint="eastAsia" w:ascii="仿宋" w:hAnsi="仿宋"/>
        </w:rPr>
        <w:t>经营机构评估相关产品或服务的风险等级，不得低于协会名录规定的风险等级。</w:t>
      </w:r>
    </w:p>
    <w:p>
      <w:pPr>
        <w:spacing w:line="360" w:lineRule="auto"/>
        <w:ind w:firstLine="480" w:firstLineChars="200"/>
        <w:rPr>
          <w:rFonts w:ascii="仿宋" w:hAnsi="仿宋"/>
        </w:rPr>
      </w:pPr>
      <w:r>
        <w:rPr>
          <w:rFonts w:hint="eastAsia" w:ascii="仿宋" w:hAnsi="仿宋"/>
        </w:rPr>
        <w:t>高风险等级的产品或服务可以由经营机构自主确定，但应当至少包含本指引规定的R5风险等级的产品或服务。</w:t>
      </w:r>
    </w:p>
    <w:p>
      <w:pPr>
        <w:pStyle w:val="5"/>
      </w:pPr>
      <w:r>
        <w:rPr>
          <w:rFonts w:hint="eastAsia"/>
        </w:rPr>
        <w:t>4、普通投资者风险承受能力等级与产品或服务风险等级的匹配标准</w:t>
      </w:r>
    </w:p>
    <w:p>
      <w:pPr>
        <w:spacing w:line="360" w:lineRule="auto"/>
        <w:ind w:firstLine="480" w:firstLineChars="200"/>
        <w:rPr>
          <w:rFonts w:ascii="仿宋" w:hAnsi="仿宋"/>
        </w:rPr>
      </w:pPr>
      <w:r>
        <w:rPr>
          <w:rFonts w:hint="eastAsia" w:ascii="仿宋" w:hAnsi="仿宋"/>
        </w:rPr>
        <w:t>依据：第二十四条</w:t>
      </w:r>
    </w:p>
    <w:p>
      <w:pPr>
        <w:spacing w:line="360" w:lineRule="auto"/>
        <w:ind w:firstLine="480" w:firstLineChars="200"/>
        <w:rPr>
          <w:rFonts w:ascii="仿宋" w:hAnsi="仿宋"/>
        </w:rPr>
      </w:pPr>
      <w:r>
        <w:rPr>
          <w:rFonts w:hint="eastAsia" w:ascii="仿宋" w:hAnsi="仿宋"/>
        </w:rPr>
        <w:t>第二十四条 普通投资者风险承受能力等级与产品或服务风险等级的匹配，应当按照以下标准确定：</w:t>
      </w:r>
    </w:p>
    <w:p>
      <w:pPr>
        <w:spacing w:line="360" w:lineRule="auto"/>
        <w:ind w:firstLine="480" w:firstLineChars="200"/>
        <w:rPr>
          <w:rFonts w:ascii="仿宋" w:hAnsi="仿宋"/>
        </w:rPr>
      </w:pPr>
      <w:r>
        <w:rPr>
          <w:rFonts w:hint="eastAsia" w:ascii="仿宋" w:hAnsi="仿宋"/>
        </w:rPr>
        <w:t>（一)C1类投资者（含风险承受能力最低类别）可购买或接受R1风险等级的产品或服务；</w:t>
      </w:r>
    </w:p>
    <w:p>
      <w:pPr>
        <w:spacing w:line="360" w:lineRule="auto"/>
        <w:ind w:firstLine="480" w:firstLineChars="200"/>
        <w:rPr>
          <w:rFonts w:ascii="仿宋" w:hAnsi="仿宋"/>
        </w:rPr>
      </w:pPr>
      <w:r>
        <w:rPr>
          <w:rFonts w:hint="eastAsia" w:ascii="仿宋" w:hAnsi="仿宋"/>
        </w:rPr>
        <w:t>（二)C2类投资者可购买或接受R1、R2风险等级的产品或服务；</w:t>
      </w:r>
    </w:p>
    <w:p>
      <w:pPr>
        <w:spacing w:line="360" w:lineRule="auto"/>
        <w:ind w:firstLine="480" w:firstLineChars="200"/>
        <w:rPr>
          <w:rFonts w:ascii="仿宋" w:hAnsi="仿宋"/>
        </w:rPr>
      </w:pPr>
      <w:r>
        <w:rPr>
          <w:rFonts w:hint="eastAsia" w:ascii="仿宋" w:hAnsi="仿宋"/>
        </w:rPr>
        <w:t>（三)C3类投资者可购买或接受R1、R2、R3风险等级的产品或服务；</w:t>
      </w:r>
    </w:p>
    <w:p>
      <w:pPr>
        <w:spacing w:line="360" w:lineRule="auto"/>
        <w:ind w:firstLine="480" w:firstLineChars="200"/>
        <w:rPr>
          <w:rFonts w:ascii="仿宋" w:hAnsi="仿宋"/>
        </w:rPr>
      </w:pPr>
      <w:r>
        <w:rPr>
          <w:rFonts w:hint="eastAsia" w:ascii="仿宋" w:hAnsi="仿宋"/>
        </w:rPr>
        <w:t>（四)C4类投资者可购买或接受R1、R2、R3、R4风险等级的产品或服务；</w:t>
      </w:r>
    </w:p>
    <w:p>
      <w:pPr>
        <w:spacing w:line="360" w:lineRule="auto"/>
        <w:ind w:firstLine="480" w:firstLineChars="200"/>
        <w:rPr>
          <w:rFonts w:ascii="仿宋" w:hAnsi="仿宋"/>
        </w:rPr>
      </w:pPr>
      <w:r>
        <w:rPr>
          <w:rFonts w:hint="eastAsia" w:ascii="仿宋" w:hAnsi="仿宋"/>
        </w:rPr>
        <w:t>（五)C5类投资者可购买或接受R1、R2、R3、R4、R5风险等级的产品或服务。</w:t>
      </w:r>
    </w:p>
    <w:p>
      <w:pPr>
        <w:spacing w:line="360" w:lineRule="auto"/>
        <w:ind w:firstLine="480" w:firstLineChars="200"/>
        <w:rPr>
          <w:rFonts w:ascii="仿宋" w:hAnsi="仿宋"/>
        </w:rPr>
      </w:pPr>
      <w:r>
        <w:rPr>
          <w:rFonts w:hint="eastAsia" w:ascii="仿宋" w:hAnsi="仿宋"/>
        </w:rPr>
        <w:t>风险承受能力最低类别的投资者只可购买或接受R1风险等级的产品或服务。</w:t>
      </w:r>
    </w:p>
    <w:p>
      <w:pPr>
        <w:spacing w:line="360" w:lineRule="auto"/>
        <w:ind w:firstLine="480" w:firstLineChars="200"/>
        <w:rPr>
          <w:rFonts w:ascii="仿宋" w:hAnsi="仿宋"/>
        </w:rPr>
      </w:pPr>
      <w:r>
        <w:rPr>
          <w:rFonts w:hint="eastAsia" w:ascii="仿宋" w:hAnsi="仿宋"/>
        </w:rPr>
        <w:t>专业投资者可购买或接受所有风险等级的产品或服务。</w:t>
      </w:r>
    </w:p>
    <w:p>
      <w:pPr>
        <w:pStyle w:val="5"/>
      </w:pPr>
      <w:r>
        <w:rPr>
          <w:rFonts w:hint="eastAsia"/>
        </w:rPr>
        <w:t>5、适当性管理过程中的需要落实双录要求的情形</w:t>
      </w:r>
    </w:p>
    <w:p>
      <w:pPr>
        <w:spacing w:line="360" w:lineRule="auto"/>
        <w:ind w:firstLine="480" w:firstLineChars="200"/>
        <w:rPr>
          <w:rFonts w:ascii="仿宋" w:hAnsi="仿宋"/>
        </w:rPr>
      </w:pPr>
      <w:r>
        <w:rPr>
          <w:rFonts w:hint="eastAsia" w:ascii="仿宋" w:hAnsi="仿宋"/>
        </w:rPr>
        <w:t>依据：第三十一条</w:t>
      </w:r>
    </w:p>
    <w:p>
      <w:pPr>
        <w:spacing w:line="360" w:lineRule="auto"/>
        <w:ind w:firstLine="480" w:firstLineChars="200"/>
        <w:rPr>
          <w:rFonts w:ascii="仿宋" w:hAnsi="仿宋"/>
        </w:rPr>
      </w:pPr>
      <w:r>
        <w:rPr>
          <w:rFonts w:hint="eastAsia" w:ascii="仿宋" w:hAnsi="仿宋"/>
        </w:rPr>
        <w:t>第三十一条 经营机构通过现场方式向普通投资者履行本指引第十三条（普通投资者申请转化为专业投资者）、第二十六条（销售或服务前主动告知）、第二十八条（向普通投资者销售或者提供高风险等级的产品或服务）和第二十九条（调整投资者分类及匹配结果）规定的告知、警示程序的，应当全过程录音或者录像；通过互联网等非现场方式履行告知、警示程序的，经营机构应当完善配套留痕安排，由普通投资者通过符合法律、行政法规要求的电子方式进行确认。</w:t>
      </w:r>
    </w:p>
    <w:p>
      <w:pPr>
        <w:spacing w:line="360" w:lineRule="auto"/>
        <w:ind w:firstLine="480" w:firstLineChars="200"/>
        <w:rPr>
          <w:rFonts w:ascii="仿宋" w:hAnsi="仿宋"/>
        </w:rPr>
      </w:pPr>
    </w:p>
    <w:p>
      <w:pPr>
        <w:pStyle w:val="4"/>
        <w:rPr>
          <w:rFonts w:ascii="仿宋" w:hAnsi="仿宋"/>
          <w:szCs w:val="24"/>
        </w:rPr>
      </w:pPr>
      <w:bookmarkStart w:id="187" w:name="_Toc3896741"/>
      <w:r>
        <w:rPr>
          <w:rFonts w:hint="eastAsia" w:ascii="仿宋" w:hAnsi="仿宋"/>
          <w:szCs w:val="24"/>
        </w:rPr>
        <w:t>（二）《期货经纪合同》指引</w:t>
      </w:r>
      <w:bookmarkEnd w:id="185"/>
      <w:bookmarkEnd w:id="186"/>
      <w:bookmarkEnd w:id="187"/>
    </w:p>
    <w:p>
      <w:pPr>
        <w:pStyle w:val="5"/>
      </w:pPr>
      <w:r>
        <w:rPr>
          <w:rFonts w:hint="eastAsia"/>
        </w:rPr>
        <w:t>1、客户需知晓事项</w:t>
      </w:r>
    </w:p>
    <w:p>
      <w:pPr>
        <w:spacing w:line="360" w:lineRule="auto"/>
        <w:ind w:firstLine="480" w:firstLineChars="200"/>
        <w:rPr>
          <w:rFonts w:ascii="仿宋" w:hAnsi="仿宋"/>
        </w:rPr>
      </w:pPr>
      <w:r>
        <w:rPr>
          <w:rFonts w:hint="eastAsia" w:ascii="仿宋" w:hAnsi="仿宋"/>
        </w:rPr>
        <w:t>签署《期货经纪合同》时，客户需知晓事项。</w:t>
      </w:r>
    </w:p>
    <w:p>
      <w:pPr>
        <w:spacing w:line="360" w:lineRule="auto"/>
        <w:ind w:firstLine="480" w:firstLineChars="200"/>
        <w:rPr>
          <w:rFonts w:ascii="仿宋" w:hAnsi="仿宋"/>
        </w:rPr>
      </w:pPr>
      <w:r>
        <w:rPr>
          <w:rFonts w:hint="eastAsia" w:ascii="仿宋" w:hAnsi="仿宋"/>
        </w:rPr>
        <w:t>依据：《客户须知》第三条</w:t>
      </w:r>
    </w:p>
    <w:p>
      <w:pPr>
        <w:spacing w:line="360" w:lineRule="auto"/>
        <w:ind w:firstLine="480" w:firstLineChars="200"/>
        <w:rPr>
          <w:rFonts w:ascii="仿宋" w:hAnsi="仿宋"/>
        </w:rPr>
      </w:pPr>
      <w:r>
        <w:rPr>
          <w:rFonts w:hint="eastAsia" w:ascii="仿宋" w:hAnsi="仿宋"/>
        </w:rPr>
        <w:t>引用：三、客户须知晓的事项</w:t>
      </w:r>
      <w:r>
        <w:rPr>
          <w:rFonts w:ascii="仿宋" w:hAnsi="仿宋"/>
        </w:rPr>
        <w:t xml:space="preserve"> </w:t>
      </w:r>
    </w:p>
    <w:p>
      <w:pPr>
        <w:spacing w:line="360" w:lineRule="auto"/>
        <w:ind w:firstLine="480" w:firstLineChars="200"/>
        <w:rPr>
          <w:rFonts w:ascii="仿宋" w:hAnsi="仿宋"/>
        </w:rPr>
      </w:pPr>
      <w:r>
        <w:rPr>
          <w:rFonts w:hint="eastAsia" w:ascii="仿宋" w:hAnsi="仿宋"/>
        </w:rPr>
        <w:t>（一）知晓期货交易风险</w:t>
      </w:r>
      <w:r>
        <w:rPr>
          <w:rFonts w:ascii="仿宋" w:hAnsi="仿宋"/>
        </w:rPr>
        <w:t xml:space="preserve"> </w:t>
      </w:r>
    </w:p>
    <w:p>
      <w:pPr>
        <w:spacing w:line="360" w:lineRule="auto"/>
        <w:ind w:firstLine="480" w:firstLineChars="200"/>
        <w:rPr>
          <w:rFonts w:ascii="仿宋" w:hAnsi="仿宋"/>
        </w:rPr>
      </w:pPr>
      <w:r>
        <w:rPr>
          <w:rFonts w:hint="eastAsia" w:ascii="仿宋" w:hAnsi="仿宋"/>
        </w:rPr>
        <w:t>客户应当知晓从事期货交易具有风险，全面评估自身的经济实力、产品认知能力、风险控制能力、生理及心理承受能力等，仔细阅读并签字确认《期货交易风险说明书》。</w:t>
      </w:r>
      <w:r>
        <w:rPr>
          <w:rFonts w:ascii="仿宋" w:hAnsi="仿宋"/>
        </w:rPr>
        <w:t xml:space="preserve"> </w:t>
      </w:r>
    </w:p>
    <w:p>
      <w:pPr>
        <w:spacing w:line="360" w:lineRule="auto"/>
        <w:ind w:firstLine="480" w:firstLineChars="200"/>
        <w:rPr>
          <w:rFonts w:ascii="仿宋" w:hAnsi="仿宋"/>
        </w:rPr>
      </w:pPr>
      <w:r>
        <w:rPr>
          <w:rFonts w:hint="eastAsia" w:ascii="仿宋" w:hAnsi="仿宋"/>
        </w:rPr>
        <w:t>（二）知晓期货公司不得做获利保证</w:t>
      </w:r>
      <w:r>
        <w:rPr>
          <w:rFonts w:ascii="仿宋" w:hAnsi="仿宋"/>
        </w:rPr>
        <w:t xml:space="preserve"> </w:t>
      </w:r>
    </w:p>
    <w:p>
      <w:pPr>
        <w:spacing w:line="360" w:lineRule="auto"/>
        <w:ind w:firstLine="480" w:firstLineChars="200"/>
        <w:rPr>
          <w:rFonts w:ascii="仿宋" w:hAnsi="仿宋"/>
        </w:rPr>
      </w:pPr>
      <w:r>
        <w:rPr>
          <w:rFonts w:hint="eastAsia" w:ascii="仿宋" w:hAnsi="仿宋"/>
        </w:rPr>
        <w:t>客户应当知晓期货交易中任何获利或者不会发生损失的承诺均为不可能或者是没有根据的，期货公司不得与客户约定分享利益或共担风险。</w:t>
      </w:r>
      <w:r>
        <w:rPr>
          <w:rFonts w:ascii="仿宋" w:hAnsi="仿宋"/>
        </w:rPr>
        <w:t xml:space="preserve"> </w:t>
      </w:r>
    </w:p>
    <w:p>
      <w:pPr>
        <w:spacing w:line="360" w:lineRule="auto"/>
        <w:ind w:firstLine="480" w:firstLineChars="200"/>
        <w:rPr>
          <w:rFonts w:ascii="仿宋" w:hAnsi="仿宋"/>
        </w:rPr>
      </w:pPr>
      <w:r>
        <w:rPr>
          <w:rFonts w:hint="eastAsia" w:ascii="仿宋" w:hAnsi="仿宋"/>
        </w:rPr>
        <w:t>（三）知晓期货公司不得接受客户的全权委托</w:t>
      </w:r>
      <w:r>
        <w:rPr>
          <w:rFonts w:ascii="仿宋" w:hAnsi="仿宋"/>
        </w:rPr>
        <w:t xml:space="preserve"> </w:t>
      </w:r>
    </w:p>
    <w:p>
      <w:pPr>
        <w:spacing w:line="360" w:lineRule="auto"/>
        <w:ind w:firstLine="480" w:firstLineChars="200"/>
        <w:rPr>
          <w:rFonts w:ascii="仿宋" w:hAnsi="仿宋"/>
        </w:rPr>
      </w:pPr>
      <w:r>
        <w:rPr>
          <w:rFonts w:hint="eastAsia" w:ascii="仿宋" w:hAnsi="仿宋"/>
        </w:rPr>
        <w:t>客户应当知晓期货公司及其工作人员不得接受客户的全权委托，客户也不得要求期货公司或其工作人员以全权委托的方式进行期货交易。全权委托指期货公司代客户决定交易指令的内容。</w:t>
      </w:r>
      <w:r>
        <w:rPr>
          <w:rFonts w:ascii="仿宋" w:hAnsi="仿宋"/>
        </w:rPr>
        <w:t xml:space="preserve"> </w:t>
      </w:r>
    </w:p>
    <w:p>
      <w:pPr>
        <w:spacing w:line="360" w:lineRule="auto"/>
        <w:ind w:firstLine="480" w:firstLineChars="200"/>
        <w:rPr>
          <w:rFonts w:ascii="仿宋" w:hAnsi="仿宋"/>
        </w:rPr>
      </w:pPr>
      <w:r>
        <w:rPr>
          <w:rFonts w:hint="eastAsia" w:ascii="仿宋" w:hAnsi="仿宋"/>
        </w:rPr>
        <w:t>（四）知晓客户本人必须对其代理人的代理行为承担民事责任</w:t>
      </w:r>
      <w:r>
        <w:rPr>
          <w:rFonts w:ascii="仿宋" w:hAnsi="仿宋"/>
        </w:rPr>
        <w:t xml:space="preserve"> </w:t>
      </w:r>
    </w:p>
    <w:p>
      <w:pPr>
        <w:spacing w:line="360" w:lineRule="auto"/>
        <w:ind w:firstLine="480" w:firstLineChars="200"/>
        <w:rPr>
          <w:rFonts w:ascii="仿宋" w:hAnsi="仿宋"/>
        </w:rPr>
      </w:pPr>
      <w:r>
        <w:rPr>
          <w:rFonts w:hint="eastAsia" w:ascii="仿宋" w:hAnsi="仿宋"/>
        </w:rPr>
        <w:t>客户代理人是基于客户的授权</w:t>
      </w:r>
      <w:r>
        <w:rPr>
          <w:rFonts w:ascii="仿宋" w:hAnsi="仿宋"/>
        </w:rPr>
        <w:t>,</w:t>
      </w:r>
      <w:r>
        <w:rPr>
          <w:rFonts w:hint="eastAsia" w:ascii="仿宋" w:hAnsi="仿宋"/>
        </w:rPr>
        <w:t>代表客户实施民事行为的人，代理人在代理权限内以客户名义进行的行为即视为客户自己的行为，代理人向客户负责，客户对代理人代理行为的后果承担一切责任。</w:t>
      </w:r>
      <w:r>
        <w:rPr>
          <w:rFonts w:ascii="仿宋" w:hAnsi="仿宋"/>
        </w:rPr>
        <w:t xml:space="preserve"> </w:t>
      </w:r>
    </w:p>
    <w:p>
      <w:pPr>
        <w:spacing w:line="360" w:lineRule="auto"/>
        <w:ind w:firstLine="480" w:firstLineChars="200"/>
        <w:rPr>
          <w:rFonts w:ascii="仿宋" w:hAnsi="仿宋"/>
        </w:rPr>
      </w:pPr>
      <w:r>
        <w:rPr>
          <w:rFonts w:hint="eastAsia" w:ascii="仿宋" w:hAnsi="仿宋"/>
        </w:rPr>
        <w:t>（五）知晓从业人员资格公示网址</w:t>
      </w:r>
      <w:r>
        <w:rPr>
          <w:rFonts w:ascii="仿宋" w:hAnsi="仿宋"/>
        </w:rPr>
        <w:t xml:space="preserve"> </w:t>
      </w:r>
    </w:p>
    <w:p>
      <w:pPr>
        <w:spacing w:line="360" w:lineRule="auto"/>
        <w:ind w:firstLine="480" w:firstLineChars="200"/>
        <w:rPr>
          <w:rFonts w:ascii="仿宋" w:hAnsi="仿宋"/>
        </w:rPr>
      </w:pPr>
      <w:r>
        <w:rPr>
          <w:rFonts w:hint="eastAsia" w:ascii="仿宋" w:hAnsi="仿宋"/>
        </w:rPr>
        <w:t>有关期货公司期货从业人员的信息可以通过中国期货业协会网站（</w:t>
      </w:r>
      <w:r>
        <w:rPr>
          <w:rFonts w:ascii="仿宋" w:hAnsi="仿宋"/>
        </w:rPr>
        <w:t>www.cfachina.org</w:t>
      </w:r>
      <w:r>
        <w:rPr>
          <w:rFonts w:hint="eastAsia" w:ascii="仿宋" w:hAnsi="仿宋"/>
        </w:rPr>
        <w:t>）的期货从业人员执业资格公示数据库进行查询和核实。</w:t>
      </w:r>
      <w:r>
        <w:rPr>
          <w:rFonts w:ascii="仿宋" w:hAnsi="仿宋"/>
        </w:rPr>
        <w:t xml:space="preserve"> </w:t>
      </w:r>
    </w:p>
    <w:p>
      <w:pPr>
        <w:spacing w:line="360" w:lineRule="auto"/>
        <w:ind w:firstLine="480" w:firstLineChars="200"/>
        <w:rPr>
          <w:rFonts w:ascii="仿宋" w:hAnsi="仿宋"/>
        </w:rPr>
      </w:pPr>
      <w:r>
        <w:rPr>
          <w:rFonts w:hint="eastAsia" w:ascii="仿宋" w:hAnsi="仿宋"/>
        </w:rPr>
        <w:t>（六）知晓期货保证金安全存管的有关规定</w:t>
      </w:r>
      <w:r>
        <w:rPr>
          <w:rFonts w:ascii="仿宋" w:hAnsi="仿宋"/>
        </w:rPr>
        <w:t xml:space="preserve"> </w:t>
      </w:r>
    </w:p>
    <w:p>
      <w:pPr>
        <w:spacing w:line="360" w:lineRule="auto"/>
        <w:ind w:firstLine="480" w:firstLineChars="200"/>
        <w:rPr>
          <w:rFonts w:ascii="仿宋" w:hAnsi="仿宋"/>
        </w:rPr>
      </w:pPr>
      <w:r>
        <w:rPr>
          <w:rFonts w:hint="eastAsia" w:ascii="仿宋" w:hAnsi="仿宋"/>
        </w:rPr>
        <w:t>为保障期货保证金的安全，客户应当知晓并遵守中国证监会有关期货保证金存取的规定，应当确保将资金直接存入中国期货市场监控中心公告的期货公司的期货保证金账户，期货保证金的存取应当通过客户在期货公司登记的期货结算账户和期货公司的期货保证金账户转账办理。</w:t>
      </w:r>
      <w:r>
        <w:rPr>
          <w:rFonts w:ascii="仿宋" w:hAnsi="仿宋"/>
        </w:rPr>
        <w:t xml:space="preserve"> </w:t>
      </w:r>
    </w:p>
    <w:p>
      <w:pPr>
        <w:spacing w:line="360" w:lineRule="auto"/>
        <w:ind w:firstLine="480" w:firstLineChars="200"/>
        <w:rPr>
          <w:rFonts w:ascii="仿宋" w:hAnsi="仿宋"/>
        </w:rPr>
      </w:pPr>
      <w:r>
        <w:rPr>
          <w:rFonts w:hint="eastAsia" w:ascii="仿宋" w:hAnsi="仿宋"/>
        </w:rPr>
        <w:t>（七）</w:t>
      </w:r>
      <w:r>
        <w:rPr>
          <w:rFonts w:ascii="仿宋" w:hAnsi="仿宋"/>
        </w:rPr>
        <w:t xml:space="preserve"> </w:t>
      </w:r>
      <w:r>
        <w:rPr>
          <w:rFonts w:hint="eastAsia" w:ascii="仿宋" w:hAnsi="仿宋"/>
        </w:rPr>
        <w:t>知晓期货公司的期货保证金账户和结算资料的查询网址</w:t>
      </w:r>
      <w:r>
        <w:rPr>
          <w:rFonts w:ascii="仿宋" w:hAnsi="仿宋"/>
        </w:rPr>
        <w:t xml:space="preserve"> </w:t>
      </w:r>
    </w:p>
    <w:p>
      <w:pPr>
        <w:spacing w:line="360" w:lineRule="auto"/>
        <w:ind w:firstLine="480" w:firstLineChars="200"/>
        <w:rPr>
          <w:rFonts w:ascii="仿宋" w:hAnsi="仿宋"/>
        </w:rPr>
      </w:pPr>
      <w:r>
        <w:rPr>
          <w:rFonts w:hint="eastAsia" w:ascii="仿宋" w:hAnsi="仿宋"/>
        </w:rPr>
        <w:t>客户可以登录中国期货市场监控中心网站</w:t>
      </w:r>
      <w:r>
        <w:rPr>
          <w:rFonts w:ascii="仿宋" w:hAnsi="仿宋"/>
        </w:rPr>
        <w:t>(www.cfmmc.com或www.cfmmc.cn），了解有关期货公司的期货保证金账户信息以及期货公司为客户提供的结算信息</w:t>
      </w:r>
      <w:r>
        <w:rPr>
          <w:rFonts w:hint="eastAsia" w:ascii="仿宋" w:hAnsi="仿宋"/>
        </w:rPr>
        <w:t>。</w:t>
      </w:r>
    </w:p>
    <w:p>
      <w:pPr>
        <w:spacing w:line="360" w:lineRule="auto"/>
        <w:ind w:firstLine="480" w:firstLineChars="200"/>
        <w:rPr>
          <w:rFonts w:ascii="仿宋" w:hAnsi="仿宋"/>
        </w:rPr>
      </w:pPr>
      <w:r>
        <w:rPr>
          <w:rFonts w:hint="eastAsia" w:ascii="仿宋" w:hAnsi="仿宋"/>
        </w:rPr>
        <w:t>（八）知晓应当妥善保管密码</w:t>
      </w:r>
      <w:r>
        <w:rPr>
          <w:rFonts w:ascii="仿宋" w:hAnsi="仿宋"/>
        </w:rPr>
        <w:t xml:space="preserve">  </w:t>
      </w:r>
    </w:p>
    <w:p>
      <w:pPr>
        <w:spacing w:line="360" w:lineRule="auto"/>
        <w:ind w:firstLine="480" w:firstLineChars="200"/>
        <w:rPr>
          <w:rFonts w:ascii="仿宋" w:hAnsi="仿宋"/>
        </w:rPr>
      </w:pPr>
      <w:r>
        <w:rPr>
          <w:rFonts w:hint="eastAsia" w:ascii="仿宋" w:hAnsi="仿宋"/>
        </w:rPr>
        <w:t>客户应当妥善保管自己的交易密码、资金密码、期货市场保证金监控中心密码及其他与期货交易相关的密码，凡使用密码进行的所有操作均视为客户本人的操作，客户必须承担由于管理不善造成密码泄密所带来的损失。</w:t>
      </w:r>
      <w:r>
        <w:rPr>
          <w:rFonts w:ascii="仿宋" w:hAnsi="仿宋"/>
        </w:rPr>
        <w:t xml:space="preserve"> </w:t>
      </w:r>
    </w:p>
    <w:p>
      <w:pPr>
        <w:spacing w:line="360" w:lineRule="auto"/>
        <w:ind w:firstLine="480" w:firstLineChars="200"/>
        <w:rPr>
          <w:rFonts w:ascii="仿宋" w:hAnsi="仿宋"/>
        </w:rPr>
      </w:pPr>
      <w:r>
        <w:rPr>
          <w:rFonts w:ascii="仿宋" w:hAnsi="仿宋"/>
        </w:rPr>
        <w:t>……</w:t>
      </w:r>
    </w:p>
    <w:p>
      <w:pPr>
        <w:widowControl/>
        <w:shd w:val="clear" w:color="auto" w:fill="FFFFFF"/>
        <w:snapToGrid w:val="0"/>
        <w:jc w:val="left"/>
        <w:rPr>
          <w:rFonts w:ascii="仿宋" w:hAnsi="仿宋"/>
        </w:rPr>
      </w:pPr>
    </w:p>
    <w:p>
      <w:pPr>
        <w:pStyle w:val="5"/>
      </w:pPr>
      <w:r>
        <w:rPr>
          <w:rFonts w:hint="eastAsia"/>
        </w:rPr>
        <w:t>2、关于委托的约定</w:t>
      </w:r>
    </w:p>
    <w:p>
      <w:pPr>
        <w:spacing w:line="360" w:lineRule="auto"/>
        <w:ind w:firstLine="480" w:firstLineChars="200"/>
        <w:rPr>
          <w:rFonts w:ascii="仿宋" w:hAnsi="仿宋"/>
        </w:rPr>
      </w:pPr>
      <w:r>
        <w:rPr>
          <w:rFonts w:hint="eastAsia" w:ascii="仿宋" w:hAnsi="仿宋"/>
        </w:rPr>
        <w:t>客户委托期货公司按照其指令为其进行期货交易的相关要求。</w:t>
      </w:r>
    </w:p>
    <w:p>
      <w:pPr>
        <w:spacing w:line="360" w:lineRule="auto"/>
        <w:ind w:firstLine="480" w:firstLineChars="200"/>
        <w:rPr>
          <w:rFonts w:ascii="仿宋" w:hAnsi="仿宋"/>
        </w:rPr>
      </w:pPr>
      <w:r>
        <w:rPr>
          <w:rFonts w:hint="eastAsia" w:ascii="仿宋" w:hAnsi="仿宋"/>
        </w:rPr>
        <w:t>依据：《示范文本》第七条、第八条</w:t>
      </w:r>
    </w:p>
    <w:p>
      <w:pPr>
        <w:spacing w:line="360" w:lineRule="auto"/>
        <w:ind w:firstLine="480" w:firstLineChars="200"/>
        <w:rPr>
          <w:rFonts w:ascii="仿宋" w:hAnsi="仿宋"/>
        </w:rPr>
      </w:pPr>
      <w:r>
        <w:rPr>
          <w:rFonts w:hint="eastAsia" w:ascii="仿宋" w:hAnsi="仿宋"/>
        </w:rPr>
        <w:t>引用：第七条</w:t>
      </w:r>
      <w:r>
        <w:rPr>
          <w:rFonts w:ascii="仿宋" w:hAnsi="仿宋"/>
        </w:rPr>
        <w:t xml:space="preserve">  </w:t>
      </w:r>
      <w:r>
        <w:rPr>
          <w:rFonts w:hint="eastAsia" w:ascii="仿宋" w:hAnsi="仿宋"/>
        </w:rPr>
        <w:t>乙方委托甲方按照乙方交易指令为乙方进行期货交易。甲方接受乙方委托，按照乙方交易指令为乙方进行期货交易。</w:t>
      </w:r>
      <w:r>
        <w:rPr>
          <w:rFonts w:ascii="仿宋" w:hAnsi="仿宋"/>
        </w:rPr>
        <w:t xml:space="preserve"> </w:t>
      </w:r>
    </w:p>
    <w:p>
      <w:pPr>
        <w:spacing w:line="360" w:lineRule="auto"/>
        <w:ind w:firstLine="480" w:firstLineChars="200"/>
        <w:rPr>
          <w:rFonts w:ascii="仿宋" w:hAnsi="仿宋"/>
        </w:rPr>
      </w:pPr>
      <w:r>
        <w:rPr>
          <w:rFonts w:hint="eastAsia" w:ascii="仿宋" w:hAnsi="仿宋"/>
        </w:rPr>
        <w:t>甲方根据期货交易所规则执行乙方交易指令，乙方应当对交易结果承担全部责任。</w:t>
      </w:r>
      <w:r>
        <w:rPr>
          <w:rFonts w:ascii="仿宋" w:hAnsi="仿宋"/>
        </w:rPr>
        <w:t xml:space="preserve"> </w:t>
      </w:r>
    </w:p>
    <w:p>
      <w:pPr>
        <w:spacing w:line="360" w:lineRule="auto"/>
        <w:ind w:firstLine="480" w:firstLineChars="200"/>
        <w:rPr>
          <w:rFonts w:ascii="仿宋" w:hAnsi="仿宋"/>
        </w:rPr>
      </w:pPr>
      <w:r>
        <w:rPr>
          <w:rFonts w:hint="eastAsia" w:ascii="仿宋" w:hAnsi="仿宋"/>
        </w:rPr>
        <w:t>第八条 乙方所选择的代理人（包括开户代理人、指令下达人、资金调拨人、结算单确认人）不得为甲方工作人员。代理人在乙方授权范围内所做出的任何行为均代表乙方行为，乙方应承担由此产生的全部责任。</w:t>
      </w:r>
    </w:p>
    <w:p>
      <w:pPr>
        <w:widowControl/>
        <w:shd w:val="clear" w:color="auto" w:fill="FFFFFF"/>
        <w:snapToGrid w:val="0"/>
        <w:jc w:val="left"/>
        <w:rPr>
          <w:rFonts w:ascii="仿宋" w:hAnsi="仿宋"/>
        </w:rPr>
      </w:pPr>
    </w:p>
    <w:p>
      <w:pPr>
        <w:pStyle w:val="5"/>
      </w:pPr>
      <w:r>
        <w:rPr>
          <w:rFonts w:hint="eastAsia"/>
        </w:rPr>
        <w:t>3、客户保证金出入金方式</w:t>
      </w:r>
    </w:p>
    <w:p>
      <w:pPr>
        <w:spacing w:line="360" w:lineRule="auto"/>
        <w:ind w:firstLine="480" w:firstLineChars="200"/>
        <w:rPr>
          <w:rFonts w:ascii="仿宋" w:hAnsi="仿宋"/>
        </w:rPr>
      </w:pPr>
      <w:r>
        <w:rPr>
          <w:rFonts w:hint="eastAsia" w:ascii="仿宋" w:hAnsi="仿宋"/>
        </w:rPr>
        <w:t>经纪合同中对客户出入金进行约定</w:t>
      </w:r>
    </w:p>
    <w:p>
      <w:pPr>
        <w:spacing w:line="360" w:lineRule="auto"/>
        <w:ind w:firstLine="480" w:firstLineChars="200"/>
        <w:rPr>
          <w:rFonts w:ascii="仿宋" w:hAnsi="仿宋"/>
        </w:rPr>
      </w:pPr>
      <w:r>
        <w:rPr>
          <w:rFonts w:hint="eastAsia" w:ascii="仿宋" w:hAnsi="仿宋"/>
        </w:rPr>
        <w:t>依据：《示范文本》第十一条</w:t>
      </w:r>
    </w:p>
    <w:p>
      <w:pPr>
        <w:spacing w:line="360" w:lineRule="auto"/>
        <w:ind w:firstLine="480" w:firstLineChars="200"/>
        <w:rPr>
          <w:rFonts w:ascii="仿宋" w:hAnsi="仿宋"/>
        </w:rPr>
      </w:pPr>
      <w:r>
        <w:rPr>
          <w:rFonts w:hint="eastAsia" w:ascii="仿宋" w:hAnsi="仿宋"/>
        </w:rPr>
        <w:t>引用：第十一条</w:t>
      </w:r>
      <w:r>
        <w:rPr>
          <w:rFonts w:ascii="仿宋" w:hAnsi="仿宋"/>
        </w:rPr>
        <w:t xml:space="preserve">  </w:t>
      </w:r>
      <w:r>
        <w:rPr>
          <w:rFonts w:hint="eastAsia" w:ascii="仿宋" w:hAnsi="仿宋"/>
        </w:rPr>
        <w:t>乙方的出入金通过其登记的期货结算账户与甲方在同一期货保证金存管银行开设的期货保证金账户以同行转账的形式办理。乙方的出入金方式应符合中国证监会及期货保证金存管银行资金结算的有关规定。</w:t>
      </w:r>
    </w:p>
    <w:p>
      <w:pPr>
        <w:widowControl/>
        <w:shd w:val="clear" w:color="auto" w:fill="FFFFFF"/>
        <w:snapToGrid w:val="0"/>
        <w:jc w:val="left"/>
        <w:rPr>
          <w:rFonts w:ascii="仿宋" w:hAnsi="仿宋"/>
        </w:rPr>
      </w:pPr>
    </w:p>
    <w:p>
      <w:pPr>
        <w:pStyle w:val="5"/>
      </w:pPr>
      <w:r>
        <w:rPr>
          <w:rFonts w:hint="eastAsia"/>
        </w:rPr>
        <w:t>4、风险控制</w:t>
      </w:r>
    </w:p>
    <w:p>
      <w:pPr>
        <w:spacing w:line="360" w:lineRule="auto"/>
        <w:ind w:firstLine="480" w:firstLineChars="200"/>
        <w:rPr>
          <w:rFonts w:ascii="仿宋" w:hAnsi="仿宋"/>
        </w:rPr>
      </w:pPr>
      <w:r>
        <w:rPr>
          <w:rFonts w:hint="eastAsia" w:ascii="仿宋" w:hAnsi="仿宋"/>
        </w:rPr>
        <w:t>公司以风险率计算客户期货交易风险，约定强行平仓条件。</w:t>
      </w:r>
    </w:p>
    <w:p>
      <w:pPr>
        <w:spacing w:line="360" w:lineRule="auto"/>
        <w:ind w:firstLine="480" w:firstLineChars="200"/>
        <w:rPr>
          <w:rFonts w:ascii="仿宋" w:hAnsi="仿宋"/>
        </w:rPr>
      </w:pPr>
      <w:r>
        <w:rPr>
          <w:rFonts w:hint="eastAsia" w:ascii="仿宋" w:hAnsi="仿宋"/>
        </w:rPr>
        <w:t>依据：《示范文本》第四十三、四十四条。</w:t>
      </w:r>
    </w:p>
    <w:p>
      <w:pPr>
        <w:spacing w:line="360" w:lineRule="auto"/>
        <w:ind w:firstLine="480" w:firstLineChars="200"/>
        <w:rPr>
          <w:rFonts w:ascii="仿宋" w:hAnsi="仿宋"/>
        </w:rPr>
      </w:pPr>
      <w:r>
        <w:rPr>
          <w:rFonts w:hint="eastAsia" w:ascii="仿宋" w:hAnsi="仿宋"/>
        </w:rPr>
        <w:t>引用：第四十三条</w:t>
      </w:r>
      <w:r>
        <w:rPr>
          <w:rFonts w:ascii="仿宋" w:hAnsi="仿宋"/>
        </w:rPr>
        <w:t xml:space="preserve">  </w:t>
      </w:r>
      <w:r>
        <w:rPr>
          <w:rFonts w:hint="eastAsia" w:ascii="仿宋" w:hAnsi="仿宋"/>
        </w:rPr>
        <w:t>甲方通过统一计算乙方期货账户内期货和期权未平仓合约的资金风险率和交易所风险率等风控指标（或者其他风险控制方式）来计算乙方期货交易的风险。风险率（或者其他风险控制方式）的计算方法为</w:t>
      </w:r>
      <w:r>
        <w:rPr>
          <w:rFonts w:hint="eastAsia" w:ascii="仿宋" w:hAnsi="仿宋"/>
          <w:u w:val="single"/>
        </w:rPr>
        <w:t xml:space="preserve">：                   　 </w:t>
      </w:r>
      <w:r>
        <w:rPr>
          <w:rFonts w:hint="eastAsia" w:ascii="仿宋" w:hAnsi="仿宋"/>
        </w:rPr>
        <w:t>。（应当注意不同期权品种的保证金计算方式可能不同）</w:t>
      </w:r>
    </w:p>
    <w:p>
      <w:pPr>
        <w:spacing w:line="360" w:lineRule="auto"/>
        <w:ind w:firstLine="480" w:firstLineChars="200"/>
        <w:rPr>
          <w:rFonts w:ascii="仿宋" w:hAnsi="仿宋"/>
        </w:rPr>
      </w:pPr>
      <w:r>
        <w:rPr>
          <w:rFonts w:hint="eastAsia" w:ascii="仿宋" w:hAnsi="仿宋"/>
        </w:rPr>
        <w:t>甲方对乙方在不同期货交易所的未平仓合约统一计算风险。</w:t>
      </w:r>
      <w:r>
        <w:rPr>
          <w:rFonts w:ascii="仿宋" w:hAnsi="仿宋"/>
        </w:rPr>
        <w:t xml:space="preserve"> </w:t>
      </w:r>
    </w:p>
    <w:p>
      <w:pPr>
        <w:spacing w:line="360" w:lineRule="auto"/>
        <w:ind w:firstLine="480" w:firstLineChars="200"/>
        <w:rPr>
          <w:rFonts w:ascii="仿宋" w:hAnsi="仿宋"/>
        </w:rPr>
      </w:pPr>
      <w:r>
        <w:rPr>
          <w:rFonts w:hint="eastAsia" w:ascii="仿宋" w:hAnsi="仿宋"/>
        </w:rPr>
        <w:t>第四十四条</w:t>
      </w:r>
      <w:r>
        <w:rPr>
          <w:rFonts w:ascii="仿宋" w:hAnsi="仿宋"/>
        </w:rPr>
        <w:t xml:space="preserve">  </w:t>
      </w:r>
      <w:r>
        <w:rPr>
          <w:rFonts w:hint="eastAsia" w:ascii="仿宋" w:hAnsi="仿宋"/>
        </w:rPr>
        <w:t>乙方的风险率　     　 时，甲方将于当日交易结算报告中向乙方发出追加保证金通知，乙方应当在下一交易日开市（含集合竞价）前及时追加保证金或者在开市后立即自行平仓。否则，甲方有权对乙方的部分或全部未平仓合约强行平仓，直至乙方可用资金≥0。</w:t>
      </w:r>
      <w:r>
        <w:rPr>
          <w:rFonts w:ascii="仿宋" w:hAnsi="仿宋"/>
        </w:rPr>
        <w:t xml:space="preserve"> </w:t>
      </w:r>
    </w:p>
    <w:p>
      <w:pPr>
        <w:spacing w:line="360" w:lineRule="auto"/>
        <w:ind w:firstLine="480" w:firstLineChars="200"/>
        <w:rPr>
          <w:rFonts w:ascii="仿宋" w:hAnsi="仿宋"/>
        </w:rPr>
      </w:pPr>
    </w:p>
    <w:p>
      <w:pPr>
        <w:pStyle w:val="4"/>
        <w:rPr>
          <w:rFonts w:ascii="仿宋" w:hAnsi="仿宋"/>
          <w:szCs w:val="24"/>
        </w:rPr>
      </w:pPr>
      <w:bookmarkStart w:id="188" w:name="_Toc445043914"/>
      <w:bookmarkStart w:id="189" w:name="_Toc3896742"/>
      <w:r>
        <w:rPr>
          <w:rFonts w:hint="eastAsia" w:ascii="仿宋" w:hAnsi="仿宋"/>
          <w:kern w:val="0"/>
          <w:szCs w:val="24"/>
        </w:rPr>
        <w:t>（三）《期货公司次级债管理规则》</w:t>
      </w:r>
      <w:bookmarkEnd w:id="188"/>
      <w:bookmarkEnd w:id="189"/>
    </w:p>
    <w:p>
      <w:pPr>
        <w:pStyle w:val="5"/>
        <w:rPr>
          <w:rFonts w:ascii="Cambria" w:hAnsi="Cambria"/>
        </w:rPr>
      </w:pPr>
      <w:r>
        <w:rPr>
          <w:rFonts w:hint="eastAsia" w:ascii="Cambria" w:hAnsi="Cambria"/>
        </w:rPr>
        <w:t>1.期货</w:t>
      </w:r>
      <w:r>
        <w:rPr>
          <w:rFonts w:ascii="Cambria" w:hAnsi="Cambria"/>
        </w:rPr>
        <w:t>公司次级债</w:t>
      </w:r>
      <w:r>
        <w:rPr>
          <w:rFonts w:hint="eastAsia" w:ascii="Cambria" w:hAnsi="Cambria"/>
        </w:rPr>
        <w:t>发</w:t>
      </w:r>
      <w:r>
        <w:rPr>
          <w:rFonts w:ascii="Cambria" w:hAnsi="Cambria"/>
        </w:rPr>
        <w:t>行</w:t>
      </w:r>
    </w:p>
    <w:p>
      <w:pPr>
        <w:spacing w:line="360" w:lineRule="auto"/>
        <w:ind w:firstLine="480" w:firstLineChars="200"/>
        <w:rPr>
          <w:rFonts w:ascii="仿宋" w:hAnsi="仿宋"/>
        </w:rPr>
      </w:pPr>
      <w:r>
        <w:rPr>
          <w:rFonts w:hint="eastAsia" w:ascii="仿宋" w:hAnsi="仿宋"/>
        </w:rPr>
        <w:t>期货公司可向股东或机构投资者定向借入清偿顺序在普通债之后的次级债务，以及期货公司可向机构投资者发行清偿顺序在普通债之后的有价证券。</w:t>
      </w:r>
    </w:p>
    <w:p>
      <w:pPr>
        <w:spacing w:line="360" w:lineRule="auto"/>
        <w:ind w:firstLine="480" w:firstLineChars="200"/>
        <w:rPr>
          <w:rFonts w:ascii="仿宋" w:hAnsi="仿宋"/>
        </w:rPr>
      </w:pPr>
      <w:r>
        <w:rPr>
          <w:rFonts w:hint="eastAsia" w:ascii="仿宋" w:hAnsi="仿宋"/>
        </w:rPr>
        <w:t>次级债，是指期货公司向股东或机构投资者定向借入的清偿顺序在普通债之后的次级债务（以下简称次级债务），以及期货公司向机构投资者发行的、清偿顺序在普通债之后的有价证券（以下简称次级债券）。次级债务、次级债券为期货公司同一清偿顺序的债务。次级债的投资风险由投资者自行承担。</w:t>
      </w:r>
    </w:p>
    <w:p>
      <w:pPr>
        <w:spacing w:line="360" w:lineRule="auto"/>
        <w:ind w:firstLine="480" w:firstLineChars="200"/>
        <w:rPr>
          <w:rFonts w:ascii="仿宋" w:hAnsi="仿宋"/>
        </w:rPr>
      </w:pPr>
      <w:r>
        <w:rPr>
          <w:rFonts w:hint="eastAsia" w:ascii="仿宋" w:hAnsi="仿宋"/>
        </w:rPr>
        <w:t>中国期货业协会（以下简称协会）依据法律、行政法规、中国证监会的规定和协会的自律规则，对期货公司借入或发行次级债进行自律管理。</w:t>
      </w:r>
    </w:p>
    <w:p>
      <w:pPr>
        <w:spacing w:line="360" w:lineRule="auto"/>
        <w:ind w:firstLine="480" w:firstLineChars="200"/>
        <w:rPr>
          <w:rFonts w:ascii="仿宋" w:hAnsi="仿宋"/>
        </w:rPr>
      </w:pPr>
      <w:r>
        <w:rPr>
          <w:rFonts w:hint="eastAsia" w:ascii="仿宋" w:hAnsi="仿宋"/>
        </w:rPr>
        <w:t>期货公司次级债券只能以非公开方式发行，不得采用广告、公开劝诱和变相公开方式。每期债券的机构投资者合计不得超过200 人。期货公司次级债券可申请在证券交易所或中国证监会认可的交易场所（以下统称交易场所）进行发行、转让，发行或转让后，持有同次发行债券的机构投资者合计不得超过200 人。次级债券发行或转让后，期货公司应在中国证券登记结算有限责任公司或中国证监会认可的其他登记结算机构（以下统称登记结算机构）办理登记。期货公司次级债券可由具备承销业务资格的证券公司承销，也可由期货公司自行销售。期货公司不得向其实际控制的子公司借入或发行次级债。</w:t>
      </w:r>
    </w:p>
    <w:p>
      <w:pPr>
        <w:spacing w:line="360" w:lineRule="auto"/>
        <w:ind w:firstLine="480" w:firstLineChars="200"/>
        <w:rPr>
          <w:rFonts w:ascii="仿宋" w:hAnsi="仿宋"/>
        </w:rPr>
      </w:pPr>
    </w:p>
    <w:p>
      <w:pPr>
        <w:pStyle w:val="4"/>
        <w:rPr>
          <w:rFonts w:ascii="仿宋" w:hAnsi="仿宋"/>
          <w:szCs w:val="24"/>
        </w:rPr>
      </w:pPr>
      <w:bookmarkStart w:id="190" w:name="_Toc3896743"/>
      <w:r>
        <w:rPr>
          <w:rFonts w:hint="eastAsia" w:ascii="仿宋" w:hAnsi="仿宋"/>
          <w:szCs w:val="24"/>
        </w:rPr>
        <w:t>（四）《期货公司压力测试指引（试行）》</w:t>
      </w:r>
      <w:bookmarkEnd w:id="190"/>
    </w:p>
    <w:p>
      <w:pPr>
        <w:pStyle w:val="5"/>
      </w:pPr>
      <w:r>
        <w:rPr>
          <w:rFonts w:hint="eastAsia"/>
        </w:rPr>
        <w:t>1、压力测试的定义及范围</w:t>
      </w:r>
    </w:p>
    <w:p>
      <w:pPr>
        <w:spacing w:line="360" w:lineRule="auto"/>
        <w:ind w:firstLine="480" w:firstLineChars="200"/>
        <w:rPr>
          <w:rFonts w:ascii="仿宋" w:hAnsi="仿宋"/>
        </w:rPr>
      </w:pPr>
      <w:r>
        <w:rPr>
          <w:rFonts w:hint="eastAsia" w:ascii="仿宋" w:hAnsi="仿宋"/>
        </w:rPr>
        <w:t>第二条</w:t>
      </w:r>
      <w:r>
        <w:rPr>
          <w:rFonts w:ascii="仿宋" w:hAnsi="仿宋"/>
        </w:rPr>
        <w:t xml:space="preserve"> </w:t>
      </w:r>
      <w:r>
        <w:rPr>
          <w:rFonts w:hint="eastAsia" w:ascii="仿宋" w:hAnsi="仿宋"/>
        </w:rPr>
        <w:t>本指引所指的压力测试是期货公司采用定量分析为主的方法，分析测算假定的、极端但可能发生的压力情景下期货公司净资本和流动性等风险监管指标、财务指标、业务指标等的变化情况，评估期货公司风险承受能力，并采取有效应对措施的过程。</w:t>
      </w:r>
    </w:p>
    <w:p>
      <w:pPr>
        <w:spacing w:line="360" w:lineRule="auto"/>
        <w:ind w:firstLine="480" w:firstLineChars="200"/>
        <w:rPr>
          <w:rFonts w:ascii="仿宋" w:hAnsi="仿宋"/>
        </w:rPr>
      </w:pPr>
      <w:r>
        <w:rPr>
          <w:rFonts w:hint="eastAsia" w:ascii="仿宋" w:hAnsi="仿宋"/>
        </w:rPr>
        <w:t>第三条</w:t>
      </w:r>
      <w:r>
        <w:rPr>
          <w:rFonts w:ascii="仿宋" w:hAnsi="仿宋"/>
        </w:rPr>
        <w:t xml:space="preserve"> </w:t>
      </w:r>
      <w:r>
        <w:rPr>
          <w:rFonts w:hint="eastAsia" w:ascii="仿宋" w:hAnsi="仿宋"/>
        </w:rPr>
        <w:t>期货公司应当建立常态化的压力测试机制，根据市场变化、业务规模、风险状况和监管要求，定期或不定期开展压力测试。压力测试应当全面覆盖公司及子公司各个业务领域的风险，并充分考虑各类风险间的相关性。</w:t>
      </w:r>
    </w:p>
    <w:p>
      <w:pPr>
        <w:pStyle w:val="5"/>
        <w:rPr>
          <w:rFonts w:ascii="Cambria" w:hAnsi="Cambria" w:cs="Times New Roman"/>
        </w:rPr>
      </w:pPr>
      <w:r>
        <w:rPr>
          <w:rFonts w:hint="eastAsia" w:ascii="Cambria" w:hAnsi="Cambria" w:cs="Times New Roman"/>
        </w:rPr>
        <w:t>2、开展专项或综合压力测试的情形</w:t>
      </w:r>
    </w:p>
    <w:p>
      <w:pPr>
        <w:spacing w:line="360" w:lineRule="auto"/>
        <w:ind w:firstLine="480" w:firstLineChars="200"/>
        <w:rPr>
          <w:rFonts w:ascii="仿宋" w:hAnsi="仿宋"/>
        </w:rPr>
      </w:pPr>
      <w:r>
        <w:rPr>
          <w:rFonts w:hint="eastAsia" w:ascii="仿宋" w:hAnsi="仿宋"/>
        </w:rPr>
        <w:t>第十七条</w:t>
      </w:r>
      <w:r>
        <w:rPr>
          <w:rFonts w:ascii="仿宋" w:hAnsi="仿宋"/>
        </w:rPr>
        <w:t xml:space="preserve"> </w:t>
      </w:r>
      <w:r>
        <w:rPr>
          <w:rFonts w:hint="eastAsia" w:ascii="仿宋" w:hAnsi="仿宋"/>
        </w:rPr>
        <w:t>期货公司在遇到以下情形之一时，应当根据自身情况开展专项或综合压力测试：</w:t>
      </w:r>
    </w:p>
    <w:p>
      <w:pPr>
        <w:spacing w:line="360" w:lineRule="auto"/>
        <w:ind w:firstLine="480" w:firstLineChars="200"/>
        <w:rPr>
          <w:rFonts w:ascii="仿宋" w:hAnsi="仿宋"/>
        </w:rPr>
      </w:pPr>
      <w:r>
        <w:rPr>
          <w:rFonts w:hint="eastAsia" w:ascii="仿宋" w:hAnsi="仿宋"/>
        </w:rPr>
        <w:t>（一）可能严重影响净资本、流动性或其他风险监管指标的情形：重大对外投资或收购、重大固定资产投资、重大资本性支出、负债集中到期或大额赎回、利润分配、分类监管评级负向调整等。</w:t>
      </w:r>
    </w:p>
    <w:p>
      <w:pPr>
        <w:spacing w:line="360" w:lineRule="auto"/>
        <w:ind w:firstLine="480" w:firstLineChars="200"/>
        <w:rPr>
          <w:rFonts w:ascii="仿宋" w:hAnsi="仿宋"/>
        </w:rPr>
      </w:pPr>
      <w:r>
        <w:rPr>
          <w:rFonts w:hint="eastAsia" w:ascii="仿宋" w:hAnsi="仿宋"/>
        </w:rPr>
        <w:t>（二）开展重大创新业务、确定自有资金投资规模限额、确定经营计划和业务规模等。</w:t>
      </w:r>
    </w:p>
    <w:p>
      <w:pPr>
        <w:spacing w:line="360" w:lineRule="auto"/>
        <w:ind w:firstLine="480" w:firstLineChars="200"/>
        <w:rPr>
          <w:rFonts w:ascii="仿宋" w:hAnsi="仿宋"/>
        </w:rPr>
      </w:pPr>
      <w:r>
        <w:rPr>
          <w:rFonts w:hint="eastAsia" w:ascii="仿宋" w:hAnsi="仿宋"/>
        </w:rPr>
        <w:t>（三）预期或已经出现重大内部风险状况：资产管理或自有资金投资大幅亏损、经纪业务风险客户骤增或大面积穿仓、政府部门行政处罚、重大诉讼或仲裁、流动性急剧降低等。</w:t>
      </w:r>
    </w:p>
    <w:p>
      <w:pPr>
        <w:spacing w:line="360" w:lineRule="auto"/>
        <w:ind w:firstLine="480" w:firstLineChars="200"/>
        <w:rPr>
          <w:rFonts w:ascii="仿宋" w:hAnsi="仿宋"/>
        </w:rPr>
      </w:pPr>
      <w:r>
        <w:rPr>
          <w:rFonts w:hint="eastAsia" w:ascii="仿宋" w:hAnsi="仿宋"/>
        </w:rPr>
        <w:t>（四）预期或已经出现重大外部风险和政策变化事件：期货市场、证券市场大幅波动，佣金率大幅下滑，交易量极度萎缩，突发极端行情等重大风险事件，或监管政策发生重大变化等。</w:t>
      </w:r>
    </w:p>
    <w:p>
      <w:pPr>
        <w:spacing w:line="360" w:lineRule="auto"/>
        <w:ind w:firstLine="480" w:firstLineChars="200"/>
        <w:rPr>
          <w:rFonts w:ascii="仿宋" w:hAnsi="仿宋"/>
        </w:rPr>
      </w:pPr>
      <w:r>
        <w:rPr>
          <w:rFonts w:hint="eastAsia" w:ascii="仿宋" w:hAnsi="仿宋"/>
        </w:rPr>
        <w:t>（五）其他可能或已经出现的压力情景。</w:t>
      </w:r>
    </w:p>
    <w:p>
      <w:pPr>
        <w:spacing w:line="360" w:lineRule="auto"/>
        <w:ind w:firstLine="480" w:firstLineChars="200"/>
        <w:rPr>
          <w:rFonts w:ascii="仿宋" w:hAnsi="仿宋"/>
        </w:rPr>
      </w:pPr>
      <w:r>
        <w:rPr>
          <w:rFonts w:hint="eastAsia" w:ascii="仿宋" w:hAnsi="仿宋"/>
        </w:rPr>
        <w:t>期货公司应根据公司实际对上述情形中的“重大”的标准进行规定.</w:t>
      </w:r>
    </w:p>
    <w:p>
      <w:pPr>
        <w:pStyle w:val="5"/>
        <w:rPr>
          <w:rFonts w:ascii="Cambria" w:hAnsi="Cambria" w:cs="Times New Roman"/>
        </w:rPr>
      </w:pPr>
      <w:r>
        <w:rPr>
          <w:rFonts w:hint="eastAsia" w:ascii="Cambria" w:hAnsi="Cambria" w:cs="Times New Roman"/>
        </w:rPr>
        <w:t>3、压力测试的报告与应用</w:t>
      </w:r>
    </w:p>
    <w:p>
      <w:pPr>
        <w:spacing w:line="360" w:lineRule="auto"/>
        <w:ind w:firstLine="480" w:firstLineChars="200"/>
        <w:rPr>
          <w:rFonts w:ascii="仿宋" w:hAnsi="仿宋"/>
        </w:rPr>
      </w:pPr>
      <w:r>
        <w:rPr>
          <w:rFonts w:hint="eastAsia" w:ascii="仿宋" w:hAnsi="仿宋"/>
        </w:rPr>
        <w:t>第十九条</w:t>
      </w:r>
      <w:r>
        <w:rPr>
          <w:rFonts w:ascii="仿宋" w:hAnsi="仿宋"/>
        </w:rPr>
        <w:t xml:space="preserve"> </w:t>
      </w:r>
      <w:r>
        <w:rPr>
          <w:rFonts w:hint="eastAsia" w:ascii="仿宋" w:hAnsi="仿宋"/>
        </w:rPr>
        <w:t>期货公司应就压力测试情况形成压力测试报告，报告内容应当包括压力测试方案、测试结论、风险问题、相关应对措施等。</w:t>
      </w:r>
    </w:p>
    <w:p>
      <w:pPr>
        <w:ind w:firstLine="480" w:firstLineChars="200"/>
        <w:rPr>
          <w:rFonts w:ascii="仿宋" w:hAnsi="仿宋"/>
        </w:rPr>
      </w:pPr>
      <w:r>
        <w:rPr>
          <w:rFonts w:hint="eastAsia" w:ascii="仿宋" w:hAnsi="仿宋"/>
        </w:rPr>
        <w:t>第二十条</w:t>
      </w:r>
      <w:r>
        <w:rPr>
          <w:rFonts w:ascii="仿宋" w:hAnsi="仿宋"/>
        </w:rPr>
        <w:t xml:space="preserve"> </w:t>
      </w:r>
      <w:r>
        <w:rPr>
          <w:rFonts w:hint="eastAsia" w:ascii="仿宋" w:hAnsi="仿宋"/>
        </w:rPr>
        <w:t>期货公司每年至少开展一次综合压力测试，期货公司应当在每年</w:t>
      </w:r>
      <w:r>
        <w:rPr>
          <w:rFonts w:ascii="仿宋" w:hAnsi="仿宋"/>
        </w:rPr>
        <w:t xml:space="preserve">4 </w:t>
      </w:r>
      <w:r>
        <w:rPr>
          <w:rFonts w:hint="eastAsia" w:ascii="仿宋" w:hAnsi="仿宋"/>
        </w:rPr>
        <w:t>月</w:t>
      </w:r>
      <w:r>
        <w:rPr>
          <w:rFonts w:ascii="仿宋" w:hAnsi="仿宋"/>
        </w:rPr>
        <w:t xml:space="preserve">30 </w:t>
      </w:r>
      <w:r>
        <w:rPr>
          <w:rFonts w:hint="eastAsia" w:ascii="仿宋" w:hAnsi="仿宋"/>
        </w:rPr>
        <w:t>日前向公司所在地证监局和中国期货业协会报送年度综合压力测试报告。此外，期货公司还应按照监管机构的要求不定期开展压力测试，并按要求报送压力测试报告。</w:t>
      </w:r>
      <w:bookmarkStart w:id="191" w:name="_Toc404963377"/>
    </w:p>
    <w:p>
      <w:pPr>
        <w:ind w:firstLine="480" w:firstLineChars="200"/>
      </w:pPr>
    </w:p>
    <w:p>
      <w:pPr>
        <w:pStyle w:val="3"/>
        <w:rPr>
          <w:sz w:val="24"/>
          <w:szCs w:val="24"/>
        </w:rPr>
      </w:pPr>
      <w:bookmarkStart w:id="192" w:name="_Toc3896744"/>
      <w:bookmarkStart w:id="193" w:name="_Toc445043915"/>
      <w:r>
        <w:rPr>
          <w:rFonts w:hint="eastAsia"/>
          <w:sz w:val="24"/>
          <w:szCs w:val="24"/>
        </w:rPr>
        <w:t>四、其他</w:t>
      </w:r>
      <w:bookmarkEnd w:id="191"/>
      <w:bookmarkEnd w:id="192"/>
      <w:bookmarkEnd w:id="193"/>
    </w:p>
    <w:p>
      <w:pPr>
        <w:pStyle w:val="4"/>
        <w:rPr>
          <w:rFonts w:ascii="仿宋" w:hAnsi="仿宋"/>
          <w:szCs w:val="24"/>
        </w:rPr>
      </w:pPr>
      <w:bookmarkStart w:id="194" w:name="_Toc404963378"/>
      <w:bookmarkStart w:id="195" w:name="_Toc445043916"/>
      <w:bookmarkStart w:id="196" w:name="_Toc3896745"/>
      <w:r>
        <w:rPr>
          <w:rFonts w:hint="eastAsia" w:ascii="仿宋" w:hAnsi="仿宋"/>
          <w:szCs w:val="24"/>
        </w:rPr>
        <w:t>（一）《刑法》修正案</w:t>
      </w:r>
      <w:bookmarkEnd w:id="194"/>
      <w:bookmarkEnd w:id="195"/>
      <w:bookmarkEnd w:id="196"/>
    </w:p>
    <w:p>
      <w:pPr>
        <w:pStyle w:val="5"/>
      </w:pPr>
      <w:r>
        <w:rPr>
          <w:rFonts w:hint="eastAsia"/>
        </w:rPr>
        <w:t>1、期货内幕交易罪</w:t>
      </w:r>
    </w:p>
    <w:p>
      <w:pPr>
        <w:spacing w:line="360" w:lineRule="auto"/>
        <w:ind w:firstLine="480" w:firstLineChars="200"/>
        <w:rPr>
          <w:rFonts w:ascii="仿宋" w:hAnsi="仿宋"/>
        </w:rPr>
      </w:pPr>
      <w:r>
        <w:rPr>
          <w:rFonts w:hint="eastAsia" w:ascii="仿宋" w:hAnsi="仿宋"/>
        </w:rPr>
        <w:t>依据：《中华人民共和国刑法修正案》第四条</w:t>
      </w:r>
      <w:r>
        <w:rPr>
          <w:rFonts w:ascii="仿宋" w:hAnsi="仿宋"/>
        </w:rPr>
        <w:t xml:space="preserve"> </w:t>
      </w:r>
      <w:r>
        <w:rPr>
          <w:rFonts w:hint="eastAsia" w:ascii="仿宋" w:hAnsi="仿宋"/>
        </w:rPr>
        <w:t>证券、期货交易内幕信息的知情人员或者非法获取证券、期货交易内幕信息的人员，在涉及证券的发行，证券、期货交易或者其他对证券、期货交易价格有重大影响的信息尚未公开前，买入或者卖出该证券，或者从事与该内幕信息有关的期货交易，或者泄露该信息，情节严重的，处五年以下有期徒刑或者拘役，并处或者单处违法所得一倍以上五倍以下罚金；情节特别严重的，处五年以上十年以下有期徒刑，并处违法所得一倍以上五倍以下罚金。</w:t>
      </w:r>
    </w:p>
    <w:p>
      <w:pPr>
        <w:spacing w:line="360" w:lineRule="auto"/>
        <w:ind w:firstLine="480" w:firstLineChars="200"/>
        <w:rPr>
          <w:rFonts w:ascii="仿宋" w:hAnsi="仿宋"/>
        </w:rPr>
      </w:pPr>
      <w:r>
        <w:rPr>
          <w:rFonts w:hint="eastAsia" w:ascii="仿宋" w:hAnsi="仿宋"/>
        </w:rPr>
        <w:t>单位犯前款罪的，对单位判处罚金，并对其直接负责的主管人员和其他直接责任人员，处五年以下有期徒刑或者拘役。</w:t>
      </w:r>
    </w:p>
    <w:p>
      <w:pPr>
        <w:spacing w:line="360" w:lineRule="auto"/>
        <w:ind w:firstLine="480" w:firstLineChars="200"/>
        <w:rPr>
          <w:rFonts w:ascii="仿宋" w:hAnsi="仿宋"/>
        </w:rPr>
      </w:pPr>
      <w:r>
        <w:rPr>
          <w:rFonts w:hint="eastAsia" w:ascii="仿宋" w:hAnsi="仿宋"/>
        </w:rPr>
        <w:t>内幕信息、知情人员的范围，依照法律、行政法规的规定确定。</w:t>
      </w:r>
    </w:p>
    <w:p>
      <w:pPr>
        <w:pStyle w:val="5"/>
      </w:pPr>
      <w:r>
        <w:rPr>
          <w:rFonts w:hint="eastAsia"/>
        </w:rPr>
        <w:t>2、操纵期货市场罪</w:t>
      </w:r>
    </w:p>
    <w:p>
      <w:pPr>
        <w:spacing w:line="360" w:lineRule="auto"/>
        <w:ind w:firstLine="480" w:firstLineChars="200"/>
        <w:rPr>
          <w:rFonts w:ascii="仿宋" w:hAnsi="仿宋"/>
        </w:rPr>
      </w:pPr>
      <w:r>
        <w:rPr>
          <w:rFonts w:hint="eastAsia" w:ascii="仿宋" w:hAnsi="仿宋"/>
        </w:rPr>
        <w:t>依据：《中华人民共和国刑法修正案（六）》第六条 有下列情形之一，操纵证券、期货交易价格，获取不正当利益或者转嫁风险，情节严重的，处五年以下有期徒刑或者拘役，并处或者单处违法所得一倍以上五倍以下罚金：</w:t>
      </w:r>
    </w:p>
    <w:p>
      <w:pPr>
        <w:spacing w:line="360" w:lineRule="auto"/>
        <w:ind w:firstLine="480" w:firstLineChars="200"/>
        <w:rPr>
          <w:rFonts w:ascii="仿宋" w:hAnsi="仿宋"/>
        </w:rPr>
      </w:pPr>
      <w:r>
        <w:rPr>
          <w:rFonts w:hint="eastAsia" w:ascii="仿宋" w:hAnsi="仿宋"/>
        </w:rPr>
        <w:t>（一）单独或者合谋，集中资金优势、持股或者持仓优势或者利用信息优势联合或者连续买卖，操纵证券、期货交易价格的；</w:t>
      </w:r>
    </w:p>
    <w:p>
      <w:pPr>
        <w:spacing w:line="360" w:lineRule="auto"/>
        <w:ind w:firstLine="480" w:firstLineChars="200"/>
        <w:rPr>
          <w:rFonts w:ascii="仿宋" w:hAnsi="仿宋"/>
        </w:rPr>
      </w:pPr>
      <w:r>
        <w:rPr>
          <w:rFonts w:hint="eastAsia" w:ascii="仿宋" w:hAnsi="仿宋"/>
        </w:rPr>
        <w:t>（二）与他人串通，以事先约定的时间、价格和方式相互进行证券、期货交易，或者相互买卖并不持有的证券，影响证券、期货交易价格或者证券、期货交易量的；</w:t>
      </w:r>
    </w:p>
    <w:p>
      <w:pPr>
        <w:spacing w:line="360" w:lineRule="auto"/>
        <w:ind w:firstLine="480" w:firstLineChars="200"/>
        <w:rPr>
          <w:rFonts w:ascii="仿宋" w:hAnsi="仿宋"/>
        </w:rPr>
      </w:pPr>
      <w:r>
        <w:rPr>
          <w:rFonts w:hint="eastAsia" w:ascii="仿宋" w:hAnsi="仿宋"/>
        </w:rPr>
        <w:t>（三）以自己为交易对象，进行不转移证券所有权的自买自卖，或者以自己为交易对象，自买自卖期货合约，影响证券、期货交易价格或者证券、期货交易量的；</w:t>
      </w:r>
    </w:p>
    <w:p>
      <w:pPr>
        <w:spacing w:line="360" w:lineRule="auto"/>
        <w:ind w:firstLine="480" w:firstLineChars="200"/>
        <w:rPr>
          <w:rFonts w:ascii="仿宋" w:hAnsi="仿宋"/>
        </w:rPr>
      </w:pPr>
      <w:r>
        <w:rPr>
          <w:rFonts w:hint="eastAsia" w:ascii="仿宋" w:hAnsi="仿宋"/>
        </w:rPr>
        <w:t>（四）以其他方法操纵证券、期货交易价格的。</w:t>
      </w:r>
    </w:p>
    <w:p>
      <w:pPr>
        <w:spacing w:line="360" w:lineRule="auto"/>
        <w:ind w:firstLine="480" w:firstLineChars="200"/>
        <w:rPr>
          <w:rFonts w:ascii="仿宋" w:hAnsi="仿宋"/>
        </w:rPr>
      </w:pPr>
      <w:r>
        <w:rPr>
          <w:rFonts w:hint="eastAsia" w:ascii="仿宋" w:hAnsi="仿宋"/>
        </w:rPr>
        <w:t>单位犯前款罪的，对单位判处罚金，并对其直接负责的主管人员和其他直接责任人员，处五年以下有期徒刑或者拘役。</w:t>
      </w:r>
    </w:p>
    <w:p>
      <w:pPr>
        <w:pStyle w:val="5"/>
      </w:pPr>
      <w:r>
        <w:rPr>
          <w:rFonts w:hint="eastAsia"/>
        </w:rPr>
        <w:t>3、挪用资金罪</w:t>
      </w:r>
    </w:p>
    <w:p>
      <w:pPr>
        <w:spacing w:line="360" w:lineRule="auto"/>
        <w:ind w:firstLine="480" w:firstLineChars="200"/>
        <w:rPr>
          <w:rFonts w:ascii="仿宋" w:hAnsi="仿宋"/>
        </w:rPr>
      </w:pPr>
      <w:r>
        <w:rPr>
          <w:rFonts w:hint="eastAsia" w:ascii="仿宋" w:hAnsi="仿宋"/>
        </w:rPr>
        <w:t>依据：《中华人民共和国刑法修正案》第七条 商业银行、证券交易所、期货交易所、证券公司、期货经纪公司、保险公司或者其他金融机构的工作人员利用职务上的便利，挪用本单位或者客户资金的，依照本法第二百七十二条的规定定罪处罚。</w:t>
      </w:r>
    </w:p>
    <w:p>
      <w:pPr>
        <w:spacing w:line="360" w:lineRule="auto"/>
        <w:ind w:firstLine="480" w:firstLineChars="200"/>
        <w:rPr>
          <w:rFonts w:ascii="仿宋" w:hAnsi="仿宋"/>
        </w:rPr>
      </w:pPr>
      <w:r>
        <w:rPr>
          <w:rFonts w:hint="eastAsia" w:ascii="仿宋" w:hAnsi="仿宋"/>
        </w:rPr>
        <w:t>国有商业银行、证券交易所、期货交易所、证券公司、期货经纪公司、保险公司或者其他国有金融机构的工作人员和国有商业银行、证券交易所、期货交易所、证券公司、期货经纪公司、保险公司或者其他国有金融机构委派到前款规定中的非国有机构从事公务的人员有前款行为的，依照本法第三百八十四条的规定定罪处罚。</w:t>
      </w:r>
    </w:p>
    <w:p>
      <w:pPr>
        <w:pStyle w:val="5"/>
      </w:pPr>
      <w:r>
        <w:rPr>
          <w:rFonts w:hint="eastAsia"/>
        </w:rPr>
        <w:t>4、利用未公开信息交易罪</w:t>
      </w:r>
    </w:p>
    <w:p>
      <w:pPr>
        <w:spacing w:line="360" w:lineRule="auto"/>
        <w:ind w:firstLine="480" w:firstLineChars="200"/>
        <w:rPr>
          <w:rFonts w:ascii="仿宋" w:hAnsi="仿宋"/>
        </w:rPr>
      </w:pPr>
      <w:r>
        <w:rPr>
          <w:rFonts w:hint="eastAsia" w:ascii="仿宋" w:hAnsi="仿宋"/>
        </w:rPr>
        <w:t>依据：《中华人民共和国刑法修正案》第七条</w:t>
      </w:r>
      <w:r>
        <w:rPr>
          <w:rFonts w:ascii="仿宋" w:hAnsi="仿宋"/>
        </w:rPr>
        <w:t xml:space="preserve"> </w:t>
      </w:r>
      <w:r>
        <w:rPr>
          <w:rFonts w:hint="eastAsia" w:ascii="仿宋" w:hAnsi="仿宋"/>
        </w:rPr>
        <w:t>证券、期货交易内幕信息的知情人员或者非法获取证券、期货交易内幕信息的人员，在涉及证券的发行，证券、期货交易或者其他对证券、期货交易价格有重大影响的信息尚未公开前，买入或者卖出该证券，或者从事与该内幕信息有关的期货交易，或者泄露该信息，或者明示、暗示他人从事上述交易活动，情节严重的，处五年以下有期徒刑或者拘役，并处或者单处违法所得一倍以上五倍以下罚金；情节特别严重的，处五年以上十年以下有期徒刑，并处违法所得一倍以上五倍以下罚金。</w:t>
      </w:r>
    </w:p>
    <w:p>
      <w:pPr>
        <w:spacing w:line="360" w:lineRule="auto"/>
        <w:ind w:firstLine="480" w:firstLineChars="200"/>
        <w:rPr>
          <w:rFonts w:ascii="仿宋" w:hAnsi="仿宋"/>
        </w:rPr>
      </w:pPr>
      <w:r>
        <w:rPr>
          <w:rFonts w:hint="eastAsia" w:ascii="仿宋" w:hAnsi="仿宋"/>
        </w:rPr>
        <w:t>证券交易所、期货交易所、证券公司、期货经纪公司、基金管理公司、商业银行、保险公司等金融机构的从业人员以及有关监管部门或者行业协会的工作人员，利用因职务便利获取的内幕信息以外的其他未公开的信息，违反规定，从事与该信息相关的证券、期货交易活动，或者明示、暗示他人从事相关交易活动，情节严重的，依照第一款的规定处罚。</w:t>
      </w:r>
    </w:p>
    <w:p>
      <w:pPr>
        <w:pStyle w:val="4"/>
        <w:rPr>
          <w:rFonts w:ascii="仿宋" w:hAnsi="仿宋"/>
          <w:szCs w:val="24"/>
        </w:rPr>
      </w:pPr>
      <w:bookmarkStart w:id="197" w:name="_Toc445043917"/>
      <w:bookmarkStart w:id="198" w:name="_Toc404963379"/>
      <w:bookmarkStart w:id="199" w:name="_Toc3896746"/>
      <w:r>
        <w:rPr>
          <w:rFonts w:hint="eastAsia" w:ascii="仿宋" w:hAnsi="仿宋"/>
          <w:szCs w:val="24"/>
        </w:rPr>
        <w:t>（二）《最高人民法院关于审理期货纠纷案件若干问题的规定》</w:t>
      </w:r>
      <w:bookmarkEnd w:id="197"/>
      <w:bookmarkEnd w:id="198"/>
      <w:bookmarkEnd w:id="199"/>
    </w:p>
    <w:p>
      <w:pPr>
        <w:pStyle w:val="5"/>
      </w:pPr>
      <w:r>
        <w:rPr>
          <w:rFonts w:hint="eastAsia"/>
        </w:rPr>
        <w:t>1、期货公司擅自以客户的名义进行交易，客户对交易结果不予追认的</w:t>
      </w:r>
    </w:p>
    <w:p>
      <w:pPr>
        <w:spacing w:line="360" w:lineRule="auto"/>
        <w:ind w:firstLine="480" w:firstLineChars="200"/>
        <w:rPr>
          <w:rFonts w:ascii="仿宋" w:hAnsi="仿宋"/>
        </w:rPr>
      </w:pPr>
      <w:r>
        <w:rPr>
          <w:rFonts w:hint="eastAsia" w:ascii="仿宋" w:hAnsi="仿宋"/>
        </w:rPr>
        <w:t>依据：第五十四条</w:t>
      </w:r>
    </w:p>
    <w:p>
      <w:pPr>
        <w:spacing w:line="360" w:lineRule="auto"/>
        <w:ind w:firstLine="480" w:firstLineChars="200"/>
        <w:rPr>
          <w:rFonts w:ascii="仿宋" w:hAnsi="仿宋"/>
        </w:rPr>
      </w:pPr>
      <w:r>
        <w:rPr>
          <w:rFonts w:hint="eastAsia" w:ascii="仿宋" w:hAnsi="仿宋"/>
        </w:rPr>
        <w:t>第五十四条</w:t>
      </w:r>
      <w:r>
        <w:rPr>
          <w:rFonts w:ascii="仿宋" w:hAnsi="仿宋"/>
        </w:rPr>
        <w:t xml:space="preserve"> </w:t>
      </w:r>
      <w:r>
        <w:rPr>
          <w:rFonts w:hint="eastAsia" w:ascii="仿宋" w:hAnsi="仿宋"/>
        </w:rPr>
        <w:t>期货公司擅自以客户的名义进行交易，客户对交易结果不予追认的，所造成的损失由期货公司承担</w:t>
      </w:r>
    </w:p>
    <w:p>
      <w:pPr>
        <w:pStyle w:val="5"/>
      </w:pPr>
      <w:r>
        <w:rPr>
          <w:rFonts w:hint="eastAsia"/>
        </w:rPr>
        <w:t>2、期货公司设立的取得营业执照和经营许可证的分公司、营业部等分支机构超出经营范围开展经营活动所产生的民事责任承担</w:t>
      </w:r>
    </w:p>
    <w:p>
      <w:pPr>
        <w:spacing w:line="360" w:lineRule="auto"/>
        <w:ind w:firstLine="480" w:firstLineChars="200"/>
        <w:rPr>
          <w:rFonts w:ascii="仿宋" w:hAnsi="仿宋"/>
        </w:rPr>
      </w:pPr>
      <w:r>
        <w:rPr>
          <w:rFonts w:hint="eastAsia" w:ascii="仿宋" w:hAnsi="仿宋"/>
        </w:rPr>
        <w:t>依据：第十二条</w:t>
      </w:r>
    </w:p>
    <w:p>
      <w:pPr>
        <w:spacing w:line="360" w:lineRule="auto"/>
        <w:ind w:firstLine="480" w:firstLineChars="200"/>
        <w:rPr>
          <w:rFonts w:ascii="仿宋" w:hAnsi="仿宋"/>
        </w:rPr>
      </w:pPr>
      <w:r>
        <w:rPr>
          <w:rFonts w:hint="eastAsia" w:ascii="仿宋" w:hAnsi="仿宋"/>
        </w:rPr>
        <w:t>第十二条</w:t>
      </w:r>
      <w:r>
        <w:rPr>
          <w:rFonts w:ascii="仿宋" w:hAnsi="仿宋"/>
        </w:rPr>
        <w:t xml:space="preserve"> </w:t>
      </w:r>
      <w:r>
        <w:rPr>
          <w:rFonts w:hint="eastAsia" w:ascii="仿宋" w:hAnsi="仿宋"/>
        </w:rPr>
        <w:t>期货公司设立的取得营业执照和经营许可证的分公司、营业部等分支机构超出经营范围开展经营活动所产生的民事责任，该分支机构不能承担的，由期货公司承担。</w:t>
      </w:r>
    </w:p>
    <w:p>
      <w:pPr>
        <w:spacing w:line="360" w:lineRule="auto"/>
        <w:ind w:firstLine="480" w:firstLineChars="200"/>
        <w:rPr>
          <w:rFonts w:ascii="仿宋" w:hAnsi="仿宋"/>
        </w:rPr>
      </w:pPr>
      <w:r>
        <w:rPr>
          <w:rFonts w:hint="eastAsia" w:ascii="仿宋" w:hAnsi="仿宋"/>
        </w:rPr>
        <w:t>客户有过错的，应当承担相应的民事责任。</w:t>
      </w:r>
    </w:p>
    <w:p>
      <w:pPr>
        <w:pStyle w:val="5"/>
      </w:pPr>
      <w:r>
        <w:rPr>
          <w:rFonts w:hint="eastAsia"/>
        </w:rPr>
        <w:t>3、期货公司司法协助义务</w:t>
      </w:r>
    </w:p>
    <w:p>
      <w:pPr>
        <w:spacing w:line="360" w:lineRule="auto"/>
        <w:ind w:firstLine="480" w:firstLineChars="200"/>
        <w:rPr>
          <w:rFonts w:ascii="仿宋" w:hAnsi="仿宋"/>
        </w:rPr>
      </w:pPr>
      <w:r>
        <w:rPr>
          <w:rFonts w:hint="eastAsia" w:ascii="仿宋" w:hAnsi="仿宋"/>
        </w:rPr>
        <w:t>依据：第八条</w:t>
      </w:r>
    </w:p>
    <w:p>
      <w:pPr>
        <w:spacing w:line="360" w:lineRule="auto"/>
        <w:ind w:firstLine="480" w:firstLineChars="200"/>
        <w:rPr>
          <w:rFonts w:ascii="仿宋" w:hAnsi="仿宋"/>
        </w:rPr>
      </w:pPr>
      <w:r>
        <w:rPr>
          <w:rFonts w:hint="eastAsia" w:ascii="仿宋" w:hAnsi="仿宋"/>
        </w:rPr>
        <w:t>第八条</w:t>
      </w:r>
      <w:r>
        <w:rPr>
          <w:rFonts w:ascii="仿宋" w:hAnsi="仿宋"/>
        </w:rPr>
        <w:t xml:space="preserve"> </w:t>
      </w:r>
      <w:r>
        <w:rPr>
          <w:rFonts w:hint="eastAsia" w:ascii="仿宋" w:hAnsi="仿宋"/>
        </w:rPr>
        <w:t>人民法院在办理案件过程中，依法需要通过期货交易所、期货公司查询、冻结、划拨资金或者有价证券的，期货交易所、期货公司应当予以协助。</w:t>
      </w:r>
    </w:p>
    <w:bookmarkEnd w:id="2"/>
    <w:bookmarkEnd w:id="3"/>
    <w:bookmarkEnd w:id="4"/>
    <w:bookmarkEnd w:id="5"/>
    <w:bookmarkEnd w:id="6"/>
    <w:bookmarkEnd w:id="7"/>
    <w:bookmarkEnd w:id="8"/>
    <w:p/>
    <w:p>
      <w:pPr>
        <w:widowControl/>
        <w:jc w:val="left"/>
        <w:rPr>
          <w:b/>
          <w:bCs/>
          <w:kern w:val="44"/>
        </w:rPr>
      </w:pPr>
      <w:bookmarkStart w:id="200" w:name="_Toc399750557"/>
      <w:bookmarkStart w:id="201" w:name="_Toc400553943"/>
      <w:bookmarkStart w:id="202" w:name="_Toc410115135"/>
      <w:r>
        <w:br w:type="page"/>
      </w:r>
    </w:p>
    <w:p>
      <w:pPr>
        <w:pStyle w:val="2"/>
      </w:pPr>
      <w:bookmarkStart w:id="203" w:name="_Toc3896747"/>
      <w:r>
        <w:rPr>
          <w:rFonts w:hint="eastAsia"/>
        </w:rPr>
        <w:t>第三部分  关于期货公司</w:t>
      </w:r>
      <w:bookmarkEnd w:id="200"/>
      <w:r>
        <w:rPr>
          <w:rFonts w:hint="eastAsia"/>
        </w:rPr>
        <w:t>合规经营的相关规定</w:t>
      </w:r>
      <w:bookmarkEnd w:id="201"/>
      <w:bookmarkEnd w:id="202"/>
      <w:bookmarkEnd w:id="203"/>
    </w:p>
    <w:p>
      <w:pPr>
        <w:pStyle w:val="3"/>
        <w:rPr>
          <w:sz w:val="24"/>
          <w:szCs w:val="24"/>
        </w:rPr>
      </w:pPr>
      <w:bookmarkStart w:id="204" w:name="_Toc399750558"/>
      <w:bookmarkStart w:id="205" w:name="_Toc400553944"/>
      <w:bookmarkStart w:id="206" w:name="_Toc410115136"/>
      <w:bookmarkStart w:id="207" w:name="_Toc3896748"/>
      <w:r>
        <w:rPr>
          <w:rFonts w:hint="eastAsia"/>
          <w:sz w:val="24"/>
          <w:szCs w:val="24"/>
        </w:rPr>
        <w:t>一、关于首席风险官</w:t>
      </w:r>
      <w:bookmarkEnd w:id="204"/>
      <w:r>
        <w:rPr>
          <w:rFonts w:hint="eastAsia"/>
          <w:sz w:val="24"/>
          <w:szCs w:val="24"/>
        </w:rPr>
        <w:t>日常履责的内容与定期报告</w:t>
      </w:r>
      <w:bookmarkEnd w:id="205"/>
      <w:bookmarkEnd w:id="206"/>
      <w:bookmarkEnd w:id="207"/>
    </w:p>
    <w:p>
      <w:pPr>
        <w:spacing w:line="360" w:lineRule="auto"/>
        <w:ind w:firstLine="480" w:firstLineChars="200"/>
        <w:rPr>
          <w:rFonts w:ascii="仿宋" w:hAnsi="仿宋"/>
        </w:rPr>
      </w:pPr>
      <w:r>
        <w:rPr>
          <w:rFonts w:hint="eastAsia" w:ascii="仿宋" w:hAnsi="仿宋"/>
        </w:rPr>
        <w:t>掌握首席风险官日常履责的重点检查内容；掌握首席风险官定期报告的有关规定。</w:t>
      </w:r>
    </w:p>
    <w:p>
      <w:pPr>
        <w:pStyle w:val="4"/>
        <w:rPr>
          <w:szCs w:val="24"/>
        </w:rPr>
      </w:pPr>
      <w:bookmarkStart w:id="208" w:name="_Toc400553945"/>
      <w:bookmarkStart w:id="209" w:name="_Toc410115137"/>
      <w:bookmarkStart w:id="210" w:name="_Toc3896749"/>
      <w:r>
        <w:rPr>
          <w:rFonts w:hint="eastAsia" w:ascii="仿宋" w:hAnsi="仿宋"/>
          <w:kern w:val="0"/>
          <w:szCs w:val="24"/>
        </w:rPr>
        <w:t>（一）</w:t>
      </w:r>
      <w:r>
        <w:rPr>
          <w:rFonts w:hint="eastAsia"/>
          <w:szCs w:val="24"/>
        </w:rPr>
        <w:t>首席风险官工作职责中重点检查的内容有哪些</w:t>
      </w:r>
      <w:bookmarkEnd w:id="208"/>
      <w:bookmarkEnd w:id="209"/>
      <w:bookmarkEnd w:id="210"/>
    </w:p>
    <w:p>
      <w:pPr>
        <w:spacing w:line="360" w:lineRule="auto"/>
        <w:ind w:firstLine="480" w:firstLineChars="200"/>
        <w:rPr>
          <w:rFonts w:ascii="仿宋" w:hAnsi="仿宋"/>
        </w:rPr>
      </w:pPr>
      <w:r>
        <w:rPr>
          <w:rFonts w:hint="eastAsia" w:ascii="仿宋" w:hAnsi="仿宋"/>
        </w:rPr>
        <w:t>依据：《期货公司首席风险官管理规定（试行）》第二十条 首席风险官应当对期货公司经营管理中可能发生的违规事项和可能存在的风险隐患进行质询和调查，并重点检查期货公司是否依据法律、行政法规及有关规定，建立健全和有效执行以下制度：</w:t>
      </w:r>
    </w:p>
    <w:p>
      <w:pPr>
        <w:spacing w:line="360" w:lineRule="auto"/>
        <w:ind w:firstLine="480" w:firstLineChars="200"/>
        <w:rPr>
          <w:rFonts w:ascii="仿宋" w:hAnsi="仿宋"/>
        </w:rPr>
      </w:pPr>
      <w:r>
        <w:rPr>
          <w:rFonts w:hint="eastAsia" w:ascii="仿宋" w:hAnsi="仿宋"/>
        </w:rPr>
        <w:t>（一）期货公司客户保证金安全存管制度；</w:t>
      </w:r>
    </w:p>
    <w:p>
      <w:pPr>
        <w:spacing w:line="360" w:lineRule="auto"/>
        <w:ind w:firstLine="480" w:firstLineChars="200"/>
        <w:rPr>
          <w:rFonts w:ascii="仿宋" w:hAnsi="仿宋"/>
        </w:rPr>
      </w:pPr>
      <w:r>
        <w:rPr>
          <w:rFonts w:hint="eastAsia" w:ascii="仿宋" w:hAnsi="仿宋"/>
        </w:rPr>
        <w:t>（二）期货公司风险监管指标管理制度；</w:t>
      </w:r>
    </w:p>
    <w:p>
      <w:pPr>
        <w:spacing w:line="360" w:lineRule="auto"/>
        <w:ind w:firstLine="480" w:firstLineChars="200"/>
        <w:rPr>
          <w:rFonts w:ascii="仿宋" w:hAnsi="仿宋"/>
        </w:rPr>
      </w:pPr>
      <w:r>
        <w:rPr>
          <w:rFonts w:hint="eastAsia" w:ascii="仿宋" w:hAnsi="仿宋"/>
        </w:rPr>
        <w:t>（三）期货公司治理和内部控制制度；</w:t>
      </w:r>
    </w:p>
    <w:p>
      <w:pPr>
        <w:spacing w:line="360" w:lineRule="auto"/>
        <w:ind w:firstLine="480" w:firstLineChars="200"/>
        <w:rPr>
          <w:rFonts w:ascii="仿宋" w:hAnsi="仿宋"/>
        </w:rPr>
      </w:pPr>
      <w:r>
        <w:rPr>
          <w:rFonts w:hint="eastAsia" w:ascii="仿宋" w:hAnsi="仿宋"/>
        </w:rPr>
        <w:t>（四）期货公司经纪业务规则、结算业务规则、客户风险管理制度和信息安全制度；</w:t>
      </w:r>
    </w:p>
    <w:p>
      <w:pPr>
        <w:spacing w:line="360" w:lineRule="auto"/>
        <w:ind w:firstLine="480" w:firstLineChars="200"/>
        <w:rPr>
          <w:rFonts w:ascii="仿宋" w:hAnsi="仿宋"/>
        </w:rPr>
      </w:pPr>
      <w:r>
        <w:rPr>
          <w:rFonts w:hint="eastAsia" w:ascii="仿宋" w:hAnsi="仿宋"/>
        </w:rPr>
        <w:t>（五）期货公司员工近亲属持仓报告制度；</w:t>
      </w:r>
    </w:p>
    <w:p>
      <w:pPr>
        <w:spacing w:line="360" w:lineRule="auto"/>
        <w:ind w:firstLine="480" w:firstLineChars="200"/>
        <w:rPr>
          <w:rFonts w:ascii="仿宋" w:hAnsi="仿宋"/>
        </w:rPr>
      </w:pPr>
      <w:r>
        <w:rPr>
          <w:rFonts w:hint="eastAsia" w:ascii="仿宋" w:hAnsi="仿宋"/>
        </w:rPr>
        <w:t>（六）其他对客户资产安全、交易安全等期货公司持续稳健经营有重要影响的制度。</w:t>
      </w:r>
    </w:p>
    <w:p>
      <w:pPr>
        <w:pStyle w:val="4"/>
        <w:rPr>
          <w:szCs w:val="24"/>
        </w:rPr>
      </w:pPr>
      <w:bookmarkStart w:id="211" w:name="_Toc400553946"/>
      <w:bookmarkStart w:id="212" w:name="_Toc410115138"/>
      <w:bookmarkStart w:id="213" w:name="_Toc3896750"/>
      <w:r>
        <w:rPr>
          <w:rFonts w:hint="eastAsia" w:ascii="仿宋" w:hAnsi="仿宋"/>
          <w:kern w:val="0"/>
          <w:szCs w:val="24"/>
        </w:rPr>
        <w:t>（二）</w:t>
      </w:r>
      <w:r>
        <w:rPr>
          <w:rFonts w:hint="eastAsia"/>
          <w:szCs w:val="24"/>
        </w:rPr>
        <w:t>首席风险官定期报告的时间要求</w:t>
      </w:r>
      <w:bookmarkEnd w:id="211"/>
      <w:bookmarkEnd w:id="212"/>
      <w:bookmarkEnd w:id="213"/>
    </w:p>
    <w:p>
      <w:pPr>
        <w:spacing w:line="360" w:lineRule="auto"/>
        <w:ind w:firstLine="480" w:firstLineChars="200"/>
        <w:rPr>
          <w:rFonts w:ascii="仿宋" w:hAnsi="仿宋"/>
        </w:rPr>
      </w:pPr>
      <w:r>
        <w:rPr>
          <w:rFonts w:hint="eastAsia" w:ascii="仿宋" w:hAnsi="仿宋"/>
          <w:bCs/>
        </w:rPr>
        <w:t>依据：</w:t>
      </w:r>
      <w:r>
        <w:rPr>
          <w:rFonts w:hint="eastAsia" w:ascii="仿宋" w:hAnsi="仿宋"/>
        </w:rPr>
        <w:t>《期货公司首席风险官管理规定（试行）》</w:t>
      </w:r>
      <w:r>
        <w:rPr>
          <w:rFonts w:ascii="仿宋" w:hAnsi="仿宋"/>
          <w:bCs/>
        </w:rPr>
        <w:t>第二十八条</w:t>
      </w:r>
      <w:r>
        <w:rPr>
          <w:rFonts w:ascii="仿宋" w:hAnsi="仿宋"/>
        </w:rPr>
        <w:t>　首席风险官应当在每季度结束之日起10个工作日内向公司住所地中国证监会派出机构提交季度工作报告；每年1月20日前向公司住所地中国证监会派出机构提交上一年度全面工作报告，报告期货公司合规经营、风险管理状况和内部控制状况，以及首席风险官的履行职责情况，包括首席风险官所作的尽职调查、提出的整改意见以及期货公司整改效果等内容。</w:t>
      </w:r>
    </w:p>
    <w:p>
      <w:pPr>
        <w:pStyle w:val="3"/>
        <w:rPr>
          <w:sz w:val="24"/>
          <w:szCs w:val="24"/>
        </w:rPr>
      </w:pPr>
      <w:bookmarkStart w:id="214" w:name="_Toc400553952"/>
      <w:bookmarkStart w:id="215" w:name="_Toc399750560"/>
      <w:bookmarkStart w:id="216" w:name="_Toc410115139"/>
      <w:bookmarkStart w:id="217" w:name="_Toc3896751"/>
      <w:r>
        <w:rPr>
          <w:rFonts w:hint="eastAsia"/>
          <w:sz w:val="24"/>
          <w:szCs w:val="24"/>
        </w:rPr>
        <w:t>二、关于信息技术</w:t>
      </w:r>
      <w:bookmarkEnd w:id="214"/>
      <w:bookmarkEnd w:id="215"/>
      <w:bookmarkEnd w:id="216"/>
      <w:bookmarkEnd w:id="217"/>
    </w:p>
    <w:p>
      <w:pPr>
        <w:pStyle w:val="4"/>
        <w:rPr>
          <w:szCs w:val="24"/>
        </w:rPr>
      </w:pPr>
      <w:bookmarkStart w:id="218" w:name="_Toc400553954"/>
      <w:bookmarkStart w:id="219" w:name="_Toc410115140"/>
      <w:bookmarkStart w:id="220" w:name="_Toc3896752"/>
      <w:r>
        <w:rPr>
          <w:rFonts w:hint="eastAsia" w:ascii="仿宋" w:hAnsi="仿宋"/>
          <w:kern w:val="0"/>
          <w:szCs w:val="24"/>
        </w:rPr>
        <w:t>（一）</w:t>
      </w:r>
      <w:r>
        <w:rPr>
          <w:rFonts w:hint="eastAsia"/>
          <w:szCs w:val="24"/>
        </w:rPr>
        <w:t>《证券期货业信息安全保障管理办法》</w:t>
      </w:r>
      <w:bookmarkEnd w:id="218"/>
      <w:bookmarkEnd w:id="219"/>
      <w:bookmarkEnd w:id="220"/>
    </w:p>
    <w:p>
      <w:pPr>
        <w:spacing w:line="360" w:lineRule="auto"/>
        <w:ind w:firstLine="480" w:firstLineChars="200"/>
        <w:rPr>
          <w:rFonts w:ascii="仿宋" w:hAnsi="仿宋"/>
        </w:rPr>
      </w:pPr>
      <w:r>
        <w:rPr>
          <w:rFonts w:hint="eastAsia" w:ascii="仿宋" w:hAnsi="仿宋"/>
        </w:rPr>
        <w:t>掌握《证券期货业信息安全保障管理办法》有关实行“谁运行、谁负责，谁使用、谁负责”、安全优先、保障发展的原则；了解证监会信息安全管理部门及派出机构的职责、职权，及可以采取的监管措施。</w:t>
      </w:r>
    </w:p>
    <w:p>
      <w:pPr>
        <w:spacing w:line="360" w:lineRule="auto"/>
        <w:ind w:firstLine="480" w:firstLineChars="200"/>
        <w:rPr>
          <w:rFonts w:ascii="仿宋" w:hAnsi="仿宋"/>
        </w:rPr>
      </w:pPr>
      <w:bookmarkStart w:id="221" w:name="_Toc400553955"/>
      <w:r>
        <w:rPr>
          <w:rFonts w:ascii="仿宋" w:hAnsi="仿宋"/>
        </w:rPr>
        <w:t>1</w:t>
      </w:r>
      <w:r>
        <w:rPr>
          <w:rFonts w:hint="eastAsia" w:ascii="仿宋" w:hAnsi="仿宋"/>
        </w:rPr>
        <w:t>、信息安全保障工作的原则</w:t>
      </w:r>
      <w:bookmarkEnd w:id="221"/>
    </w:p>
    <w:p>
      <w:pPr>
        <w:spacing w:line="360" w:lineRule="auto"/>
        <w:ind w:firstLine="480" w:firstLineChars="200"/>
        <w:rPr>
          <w:rFonts w:ascii="仿宋" w:hAnsi="仿宋"/>
        </w:rPr>
      </w:pPr>
      <w:r>
        <w:rPr>
          <w:rFonts w:hint="eastAsia" w:ascii="仿宋" w:hAnsi="仿宋"/>
        </w:rPr>
        <w:t>依据:</w:t>
      </w:r>
      <w:r>
        <w:rPr>
          <w:rFonts w:ascii="仿宋" w:hAnsi="仿宋"/>
        </w:rPr>
        <w:t xml:space="preserve"> 第三条 证券期货业信息安全 保障 工作实行“谁运行、谁负责</w:t>
      </w:r>
      <w:r>
        <w:rPr>
          <w:rFonts w:hint="eastAsia" w:ascii="仿宋" w:hAnsi="仿宋"/>
        </w:rPr>
        <w:t>、</w:t>
      </w:r>
      <w:r>
        <w:rPr>
          <w:rFonts w:ascii="仿宋" w:hAnsi="仿宋"/>
        </w:rPr>
        <w:t>谁 使用、谁负责” 、安全优先、保障发展的原则。</w:t>
      </w:r>
    </w:p>
    <w:p>
      <w:pPr>
        <w:spacing w:line="360" w:lineRule="auto"/>
        <w:ind w:firstLine="480" w:firstLineChars="200"/>
        <w:rPr>
          <w:rFonts w:ascii="仿宋" w:hAnsi="仿宋"/>
        </w:rPr>
      </w:pPr>
      <w:bookmarkStart w:id="222" w:name="_Toc400553956"/>
      <w:r>
        <w:rPr>
          <w:rFonts w:ascii="仿宋" w:hAnsi="仿宋"/>
        </w:rPr>
        <w:t>2</w:t>
      </w:r>
      <w:r>
        <w:rPr>
          <w:rFonts w:hint="eastAsia" w:ascii="仿宋" w:hAnsi="仿宋"/>
        </w:rPr>
        <w:t>、信息安全检查机构和机构信息安全管理未能达到规定要求的法律责任</w:t>
      </w:r>
      <w:bookmarkEnd w:id="222"/>
    </w:p>
    <w:p>
      <w:pPr>
        <w:spacing w:line="360" w:lineRule="auto"/>
        <w:ind w:firstLine="480" w:firstLineChars="200"/>
        <w:rPr>
          <w:rFonts w:ascii="仿宋" w:hAnsi="仿宋"/>
        </w:rPr>
      </w:pPr>
      <w:r>
        <w:rPr>
          <w:rFonts w:hint="eastAsia" w:ascii="仿宋" w:hAnsi="仿宋"/>
        </w:rPr>
        <w:t>依据：</w:t>
      </w:r>
      <w:r>
        <w:rPr>
          <w:rFonts w:ascii="仿宋" w:hAnsi="仿宋"/>
        </w:rPr>
        <w:t>第</w:t>
      </w:r>
      <w:r>
        <w:rPr>
          <w:rFonts w:hint="eastAsia" w:ascii="仿宋" w:hAnsi="仿宋"/>
        </w:rPr>
        <w:t>四十五</w:t>
      </w:r>
      <w:r>
        <w:rPr>
          <w:rFonts w:ascii="仿宋" w:hAnsi="仿宋"/>
        </w:rPr>
        <w:t xml:space="preserve">条 中国证监会及其派出机构依照职责范围，对核心机构和经营机构进行信息安全检查或者委托国家、行业有关专业安全机构进行安全检查。核心机构和经营机构应当配合检查 。 </w:t>
      </w:r>
    </w:p>
    <w:p>
      <w:pPr>
        <w:spacing w:line="360" w:lineRule="auto"/>
        <w:ind w:firstLine="480" w:firstLineChars="200"/>
        <w:rPr>
          <w:rFonts w:ascii="仿宋" w:hAnsi="仿宋"/>
        </w:rPr>
      </w:pPr>
      <w:r>
        <w:rPr>
          <w:rFonts w:hint="eastAsia" w:ascii="仿宋" w:hAnsi="仿宋"/>
        </w:rPr>
        <w:t>核心机构和经营机构</w:t>
      </w:r>
      <w:r>
        <w:rPr>
          <w:rFonts w:ascii="仿宋" w:hAnsi="仿宋"/>
        </w:rPr>
        <w:t xml:space="preserve">的信息安全管理不能达到规定要求的，中国证监会及其派出机构责令其限期改正，改正前可以暂停或者限制其部分或者全部证券期货经营业务活动。 </w:t>
      </w:r>
    </w:p>
    <w:p>
      <w:pPr>
        <w:pStyle w:val="4"/>
        <w:rPr>
          <w:szCs w:val="24"/>
        </w:rPr>
      </w:pPr>
      <w:bookmarkStart w:id="223" w:name="_Toc400553957"/>
      <w:bookmarkStart w:id="224" w:name="_Toc410115141"/>
      <w:bookmarkStart w:id="225" w:name="_Toc3896753"/>
      <w:r>
        <w:rPr>
          <w:rFonts w:hint="eastAsia" w:ascii="仿宋" w:hAnsi="仿宋"/>
          <w:kern w:val="0"/>
          <w:szCs w:val="24"/>
        </w:rPr>
        <w:t>（二）</w:t>
      </w:r>
      <w:r>
        <w:rPr>
          <w:rFonts w:hint="eastAsia"/>
          <w:szCs w:val="24"/>
        </w:rPr>
        <w:t>《证券期货业信息安全事件报告与调查处理办法》</w:t>
      </w:r>
      <w:bookmarkEnd w:id="223"/>
      <w:bookmarkEnd w:id="224"/>
      <w:bookmarkEnd w:id="225"/>
    </w:p>
    <w:p>
      <w:pPr>
        <w:spacing w:line="360" w:lineRule="auto"/>
        <w:ind w:firstLine="480" w:firstLineChars="200"/>
        <w:rPr>
          <w:rFonts w:ascii="仿宋" w:hAnsi="仿宋"/>
        </w:rPr>
      </w:pPr>
      <w:r>
        <w:rPr>
          <w:rFonts w:hint="eastAsia" w:ascii="仿宋" w:hAnsi="仿宋"/>
        </w:rPr>
        <w:t>掌握《证券期货业信息安全事件报告与调查处理办法》对于信息安全事件的定义，掌握信息安全事件各等级的定义及所属情形，并能够在实际工作中准确界定、识别信息安全事件及其等级；掌握应进行预警报告、应急报告的信息安全事件情形，以及预警报告、应急报告和事件总结报告的报告要求、报告对象</w:t>
      </w:r>
    </w:p>
    <w:p>
      <w:pPr>
        <w:spacing w:line="360" w:lineRule="auto"/>
        <w:ind w:firstLine="480" w:firstLineChars="200"/>
        <w:rPr>
          <w:rFonts w:ascii="仿宋" w:hAnsi="仿宋"/>
        </w:rPr>
      </w:pPr>
      <w:bookmarkStart w:id="226" w:name="_Toc400553958"/>
      <w:r>
        <w:rPr>
          <w:rFonts w:hint="eastAsia" w:ascii="仿宋" w:hAnsi="仿宋"/>
        </w:rPr>
        <w:t>1、证券期货业信息安全事件的定义</w:t>
      </w:r>
      <w:bookmarkEnd w:id="226"/>
    </w:p>
    <w:p>
      <w:pPr>
        <w:spacing w:line="360" w:lineRule="auto"/>
        <w:ind w:firstLine="480" w:firstLineChars="200"/>
        <w:rPr>
          <w:rFonts w:ascii="仿宋" w:hAnsi="仿宋"/>
        </w:rPr>
      </w:pPr>
      <w:r>
        <w:rPr>
          <w:rFonts w:hint="eastAsia" w:ascii="仿宋" w:hAnsi="仿宋"/>
        </w:rPr>
        <w:t>依据：第二条 证券期货业信息安全事件是指证券期货业信息系统运行异常或者数据损毁、泄露，对投资者合法权益造成损害或者对证券期货市场造成不良影响的事件。</w:t>
      </w:r>
    </w:p>
    <w:p>
      <w:pPr>
        <w:spacing w:line="360" w:lineRule="auto"/>
        <w:ind w:firstLine="480" w:firstLineChars="200"/>
        <w:rPr>
          <w:rFonts w:ascii="仿宋" w:hAnsi="仿宋"/>
        </w:rPr>
      </w:pPr>
    </w:p>
    <w:p>
      <w:pPr>
        <w:spacing w:line="360" w:lineRule="auto"/>
        <w:ind w:firstLine="480" w:firstLineChars="200"/>
        <w:rPr>
          <w:rFonts w:ascii="仿宋" w:hAnsi="仿宋"/>
        </w:rPr>
      </w:pPr>
      <w:bookmarkStart w:id="227" w:name="_Toc400553959"/>
      <w:r>
        <w:rPr>
          <w:rFonts w:hint="eastAsia" w:ascii="仿宋" w:hAnsi="仿宋"/>
        </w:rPr>
        <w:t>2、证券期货业信息安全事件各等级的定义及所属情形</w:t>
      </w:r>
      <w:bookmarkEnd w:id="227"/>
    </w:p>
    <w:p>
      <w:pPr>
        <w:spacing w:line="360" w:lineRule="auto"/>
        <w:ind w:firstLine="480" w:firstLineChars="200"/>
        <w:rPr>
          <w:rFonts w:ascii="仿宋" w:hAnsi="仿宋"/>
        </w:rPr>
      </w:pPr>
      <w:r>
        <w:rPr>
          <w:rFonts w:hint="eastAsia" w:ascii="仿宋" w:hAnsi="仿宋"/>
        </w:rPr>
        <w:t>依据：第九条 根据信息安全事件对投资者合法权益造成损害，或者对证券期货市场造成不良影响的程度，事件分为特别重大事件、重大事件、较大事件、一般事件。</w:t>
      </w:r>
    </w:p>
    <w:p>
      <w:pPr>
        <w:spacing w:line="360" w:lineRule="auto"/>
        <w:ind w:firstLine="480" w:firstLineChars="200"/>
        <w:rPr>
          <w:rFonts w:ascii="仿宋" w:hAnsi="仿宋"/>
        </w:rPr>
      </w:pPr>
      <w:r>
        <w:rPr>
          <w:rFonts w:hint="eastAsia" w:ascii="仿宋" w:hAnsi="仿宋"/>
        </w:rPr>
        <w:t>第十条 特别重大事件是指对投资者合法权益造成特别严重损害或者对证券期货市场造成特别严重影响的信息安全事件。符合下列情形之一的为特别重大事件：</w:t>
      </w:r>
    </w:p>
    <w:p>
      <w:pPr>
        <w:spacing w:line="360" w:lineRule="auto"/>
        <w:ind w:firstLine="480" w:firstLineChars="200"/>
        <w:rPr>
          <w:rFonts w:ascii="仿宋" w:hAnsi="仿宋"/>
        </w:rPr>
      </w:pPr>
      <w:r>
        <w:rPr>
          <w:rFonts w:hint="eastAsia" w:ascii="仿宋" w:hAnsi="仿宋"/>
        </w:rPr>
        <w:t>（一）</w:t>
      </w:r>
      <w:bookmarkStart w:id="228" w:name="OLE_LINK3"/>
      <w:r>
        <w:rPr>
          <w:rFonts w:hint="eastAsia" w:ascii="仿宋" w:hAnsi="仿宋"/>
        </w:rPr>
        <w:t>证券交易所交易、通信、行情发布系统在开市前无法正常启动或者中断达到20分钟以上，或者受影响营业部或者交易单元比例达到20%以上，或者交易中断的证券只数达到20%以上的</w:t>
      </w:r>
      <w:bookmarkEnd w:id="228"/>
      <w:r>
        <w:rPr>
          <w:rFonts w:hint="eastAsia" w:ascii="仿宋" w:hAnsi="仿宋"/>
        </w:rPr>
        <w:t>；</w:t>
      </w:r>
    </w:p>
    <w:p>
      <w:pPr>
        <w:spacing w:line="360" w:lineRule="auto"/>
        <w:ind w:firstLine="480" w:firstLineChars="200"/>
        <w:rPr>
          <w:rFonts w:ascii="仿宋" w:hAnsi="仿宋"/>
        </w:rPr>
      </w:pPr>
      <w:r>
        <w:rPr>
          <w:rFonts w:hint="eastAsia" w:ascii="仿宋" w:hAnsi="仿宋"/>
        </w:rPr>
        <w:t>（二）期货交易所交易业务系统全部中断，影响交易时间累计2小时以上的；结算交割业务系统中断，影响下一交易日正常开市的；</w:t>
      </w:r>
    </w:p>
    <w:p>
      <w:pPr>
        <w:spacing w:line="360" w:lineRule="auto"/>
        <w:ind w:firstLine="480" w:firstLineChars="200"/>
        <w:rPr>
          <w:rFonts w:ascii="仿宋" w:hAnsi="仿宋"/>
        </w:rPr>
      </w:pPr>
      <w:r>
        <w:rPr>
          <w:rFonts w:hint="eastAsia" w:ascii="仿宋" w:hAnsi="仿宋"/>
        </w:rPr>
        <w:t>（三）中国证券登记结算公司登记结算系统瘫痪、短期内无法恢复且何日恢复无法预知，对公司全部业务或者整个市场造成重大影响的；</w:t>
      </w:r>
    </w:p>
    <w:p>
      <w:pPr>
        <w:spacing w:line="360" w:lineRule="auto"/>
        <w:ind w:firstLine="480" w:firstLineChars="200"/>
        <w:rPr>
          <w:rFonts w:ascii="仿宋" w:hAnsi="仿宋"/>
        </w:rPr>
      </w:pPr>
      <w:r>
        <w:rPr>
          <w:rFonts w:hint="eastAsia" w:ascii="仿宋" w:hAnsi="仿宋"/>
        </w:rPr>
        <w:t>（四）有效客户数在100万人以上的证券公司、期货公司集中交易系统或者网上交易系统全部中断，影响交易时间累计2小时以上的；</w:t>
      </w:r>
    </w:p>
    <w:p>
      <w:pPr>
        <w:spacing w:line="360" w:lineRule="auto"/>
        <w:ind w:firstLine="480" w:firstLineChars="200"/>
        <w:rPr>
          <w:rFonts w:ascii="仿宋" w:hAnsi="仿宋"/>
        </w:rPr>
      </w:pPr>
      <w:r>
        <w:rPr>
          <w:rFonts w:hint="eastAsia" w:ascii="仿宋" w:hAnsi="仿宋"/>
        </w:rPr>
        <w:t>（五）有效客户数在100万人以上的证券公司、期货公司结算系统发生故障，在开市前未能完成前一交易日的结算或者结算数据出现重大错误，影响投资者正常交易的；</w:t>
      </w:r>
    </w:p>
    <w:p>
      <w:pPr>
        <w:spacing w:line="360" w:lineRule="auto"/>
        <w:ind w:firstLine="496" w:firstLineChars="200"/>
        <w:rPr>
          <w:rFonts w:ascii="仿宋" w:hAnsi="仿宋"/>
        </w:rPr>
      </w:pPr>
      <w:r>
        <w:rPr>
          <w:rFonts w:hint="eastAsia" w:ascii="仿宋" w:hAnsi="仿宋"/>
          <w:spacing w:val="4"/>
        </w:rPr>
        <w:t>（六）基金销售、会计核算或者注册登记系统发生严重故障，</w:t>
      </w:r>
      <w:r>
        <w:rPr>
          <w:rFonts w:hint="eastAsia" w:ascii="仿宋" w:hAnsi="仿宋"/>
        </w:rPr>
        <w:t>且备份系统预计在8小时内无法恢复，影响100万人以上投资者当日或者后续交易日基金正常申购赎回的；</w:t>
      </w:r>
    </w:p>
    <w:p>
      <w:pPr>
        <w:spacing w:line="360" w:lineRule="auto"/>
        <w:ind w:firstLine="480" w:firstLineChars="200"/>
        <w:rPr>
          <w:rFonts w:ascii="仿宋" w:hAnsi="仿宋"/>
        </w:rPr>
      </w:pPr>
      <w:r>
        <w:rPr>
          <w:rFonts w:hint="eastAsia" w:ascii="仿宋" w:hAnsi="仿宋"/>
        </w:rPr>
        <w:t>（七）100万人以上的投资者数据发生损毁或者错误等异常情况，影响当日或者后续交易日正常交易的；</w:t>
      </w:r>
    </w:p>
    <w:p>
      <w:pPr>
        <w:spacing w:line="360" w:lineRule="auto"/>
        <w:ind w:firstLine="480" w:firstLineChars="200"/>
        <w:rPr>
          <w:rFonts w:ascii="仿宋" w:hAnsi="仿宋"/>
        </w:rPr>
      </w:pPr>
      <w:r>
        <w:rPr>
          <w:rFonts w:hint="eastAsia" w:ascii="仿宋" w:hAnsi="仿宋"/>
        </w:rPr>
        <w:t>（八）100万人以上的投资者数据发生泄露的；</w:t>
      </w:r>
    </w:p>
    <w:p>
      <w:pPr>
        <w:spacing w:line="360" w:lineRule="auto"/>
        <w:ind w:firstLine="480" w:firstLineChars="200"/>
        <w:rPr>
          <w:rFonts w:ascii="仿宋" w:hAnsi="仿宋"/>
        </w:rPr>
      </w:pPr>
      <w:r>
        <w:rPr>
          <w:rFonts w:hint="eastAsia" w:ascii="仿宋" w:hAnsi="仿宋"/>
        </w:rPr>
        <w:t>（九）其他对投资者合法权益、证券期货市场造成特别严重影响的事件。</w:t>
      </w:r>
    </w:p>
    <w:p>
      <w:pPr>
        <w:spacing w:line="360" w:lineRule="auto"/>
        <w:ind w:firstLine="480" w:firstLineChars="200"/>
        <w:rPr>
          <w:rFonts w:ascii="仿宋" w:hAnsi="仿宋"/>
        </w:rPr>
      </w:pPr>
      <w:r>
        <w:rPr>
          <w:rFonts w:hint="eastAsia" w:ascii="仿宋" w:hAnsi="仿宋"/>
        </w:rPr>
        <w:t>第十一条 重大事件是指对投资者合法权益造成严重损害或者对证券期货市场造成严重影响的信息安全事件。符合下列情形之一，且未达到特别重大事件的为重大事件：</w:t>
      </w:r>
    </w:p>
    <w:p>
      <w:pPr>
        <w:spacing w:line="360" w:lineRule="auto"/>
        <w:ind w:firstLine="480" w:firstLineChars="200"/>
        <w:rPr>
          <w:rFonts w:ascii="仿宋" w:hAnsi="仿宋"/>
        </w:rPr>
      </w:pPr>
      <w:r>
        <w:rPr>
          <w:rFonts w:hint="eastAsia" w:ascii="仿宋" w:hAnsi="仿宋"/>
        </w:rPr>
        <w:t>（一）证券交易所交易、通信、行情发布系统中断达到10分钟以上，或者受影响营业部或者交易单元比例达到10%以上，或者交易中断的证券只数达到10%以上的；</w:t>
      </w:r>
    </w:p>
    <w:p>
      <w:pPr>
        <w:spacing w:line="360" w:lineRule="auto"/>
        <w:ind w:firstLine="480" w:firstLineChars="200"/>
        <w:rPr>
          <w:rFonts w:ascii="仿宋" w:hAnsi="仿宋"/>
        </w:rPr>
      </w:pPr>
      <w:r>
        <w:rPr>
          <w:rFonts w:hint="eastAsia" w:ascii="仿宋" w:hAnsi="仿宋"/>
        </w:rPr>
        <w:t>（二）期货交易所交易业务系统全部中断，影响交易时间累计30分钟以上的；</w:t>
      </w:r>
    </w:p>
    <w:p>
      <w:pPr>
        <w:spacing w:line="360" w:lineRule="auto"/>
        <w:ind w:firstLine="480" w:firstLineChars="200"/>
        <w:rPr>
          <w:rFonts w:ascii="仿宋" w:hAnsi="仿宋"/>
        </w:rPr>
      </w:pPr>
      <w:r>
        <w:rPr>
          <w:rFonts w:hint="eastAsia" w:ascii="仿宋" w:hAnsi="仿宋"/>
        </w:rPr>
        <w:t>（三）中国证券登记结算公司登记结算系统故障，影响下一个交易日的正常开市或者业务开展，可能导致整个市场当日某项业务不能正常进行的；</w:t>
      </w:r>
    </w:p>
    <w:p>
      <w:pPr>
        <w:spacing w:line="360" w:lineRule="auto"/>
        <w:ind w:firstLine="480" w:firstLineChars="200"/>
        <w:rPr>
          <w:rFonts w:ascii="仿宋" w:hAnsi="仿宋"/>
        </w:rPr>
      </w:pPr>
      <w:r>
        <w:rPr>
          <w:rFonts w:hint="eastAsia" w:ascii="仿宋" w:hAnsi="仿宋"/>
        </w:rPr>
        <w:t>（四）有效客户数在10万人以上的证券公司、期货公司集中交易系统或者网上交易系统全部中断，影响交易时间累计30分钟以上的；</w:t>
      </w:r>
    </w:p>
    <w:p>
      <w:pPr>
        <w:spacing w:line="360" w:lineRule="auto"/>
        <w:ind w:firstLine="480" w:firstLineChars="200"/>
        <w:rPr>
          <w:rFonts w:ascii="仿宋" w:hAnsi="仿宋"/>
        </w:rPr>
      </w:pPr>
      <w:r>
        <w:rPr>
          <w:rFonts w:hint="eastAsia" w:ascii="仿宋" w:hAnsi="仿宋"/>
        </w:rPr>
        <w:t>（五）有效客户数在10万人以上的证券公司、期货公司结算系统发生故障，在开市前未能完成前一交易日的结算或者结算数据出现重大错误，影响投资者正常交易的；</w:t>
      </w:r>
    </w:p>
    <w:p>
      <w:pPr>
        <w:spacing w:line="360" w:lineRule="auto"/>
        <w:ind w:firstLine="496" w:firstLineChars="200"/>
        <w:rPr>
          <w:rFonts w:ascii="仿宋" w:hAnsi="仿宋"/>
        </w:rPr>
      </w:pPr>
      <w:r>
        <w:rPr>
          <w:rFonts w:hint="eastAsia" w:ascii="仿宋" w:hAnsi="仿宋"/>
          <w:spacing w:val="4"/>
        </w:rPr>
        <w:t>（六）基金销售、会计核算或者注册登记系统发生严重故障，</w:t>
      </w:r>
      <w:r>
        <w:rPr>
          <w:rFonts w:hint="eastAsia" w:ascii="仿宋" w:hAnsi="仿宋"/>
        </w:rPr>
        <w:t>且备份系统预计在4小时内无法恢复，影响10万人以上投资者当日或者后续交易日基金正常申购赎回的；</w:t>
      </w:r>
    </w:p>
    <w:p>
      <w:pPr>
        <w:spacing w:line="360" w:lineRule="auto"/>
        <w:ind w:firstLine="480" w:firstLineChars="200"/>
        <w:rPr>
          <w:rFonts w:ascii="仿宋" w:hAnsi="仿宋"/>
        </w:rPr>
      </w:pPr>
      <w:r>
        <w:rPr>
          <w:rFonts w:hint="eastAsia" w:ascii="仿宋" w:hAnsi="仿宋"/>
        </w:rPr>
        <w:t>（七）10万人以上的投资者数据发生损毁或者错误等异常情况，影响当日或者后续交易日正常交易的；</w:t>
      </w:r>
    </w:p>
    <w:p>
      <w:pPr>
        <w:spacing w:line="360" w:lineRule="auto"/>
        <w:ind w:firstLine="480" w:firstLineChars="200"/>
        <w:rPr>
          <w:rFonts w:ascii="仿宋" w:hAnsi="仿宋"/>
        </w:rPr>
      </w:pPr>
      <w:r>
        <w:rPr>
          <w:rFonts w:hint="eastAsia" w:ascii="仿宋" w:hAnsi="仿宋"/>
        </w:rPr>
        <w:t>（八）10万人以上的投资者数据发生泄露的；</w:t>
      </w:r>
    </w:p>
    <w:p>
      <w:pPr>
        <w:spacing w:line="360" w:lineRule="auto"/>
        <w:ind w:firstLine="480" w:firstLineChars="200"/>
        <w:rPr>
          <w:rFonts w:ascii="仿宋" w:hAnsi="仿宋"/>
        </w:rPr>
      </w:pPr>
      <w:r>
        <w:rPr>
          <w:rFonts w:hint="eastAsia" w:ascii="仿宋" w:hAnsi="仿宋"/>
        </w:rPr>
        <w:t>（九）其他对投资者合法权益、证券期货市场造成严重影响的事件。</w:t>
      </w:r>
    </w:p>
    <w:p>
      <w:pPr>
        <w:spacing w:line="360" w:lineRule="auto"/>
        <w:ind w:firstLine="480" w:firstLineChars="200"/>
        <w:rPr>
          <w:rFonts w:ascii="仿宋" w:hAnsi="仿宋"/>
        </w:rPr>
      </w:pPr>
      <w:r>
        <w:rPr>
          <w:rFonts w:hint="eastAsia" w:ascii="仿宋" w:hAnsi="仿宋"/>
        </w:rPr>
        <w:t>第十二条 较大事件是指对投资者合法权益造成较大损害或者对证券期货市场造成较大影响的信息安全事件。符合下列情形之一，且未达到重大事件的为较大事件：</w:t>
      </w:r>
    </w:p>
    <w:p>
      <w:pPr>
        <w:spacing w:line="360" w:lineRule="auto"/>
        <w:ind w:firstLine="480" w:firstLineChars="200"/>
        <w:rPr>
          <w:rFonts w:ascii="仿宋" w:hAnsi="仿宋"/>
        </w:rPr>
      </w:pPr>
      <w:r>
        <w:rPr>
          <w:rFonts w:hint="eastAsia" w:ascii="仿宋" w:hAnsi="仿宋"/>
        </w:rPr>
        <w:t>（一）证券交易所交易、通信、行情发布系统中断，受影响营业部或者交易单元比例达到5%以上，或者交易中断的证券只数达到5%以上的；</w:t>
      </w:r>
    </w:p>
    <w:p>
      <w:pPr>
        <w:spacing w:line="360" w:lineRule="auto"/>
        <w:ind w:firstLine="480" w:firstLineChars="200"/>
        <w:rPr>
          <w:rFonts w:ascii="仿宋" w:hAnsi="仿宋"/>
        </w:rPr>
      </w:pPr>
      <w:r>
        <w:rPr>
          <w:rFonts w:hint="eastAsia" w:ascii="仿宋" w:hAnsi="仿宋"/>
        </w:rPr>
        <w:t>（二）期货交易所交易业务系统全部中断、部分中断，影响交易时间在3分钟以上的；</w:t>
      </w:r>
    </w:p>
    <w:p>
      <w:pPr>
        <w:spacing w:line="360" w:lineRule="auto"/>
        <w:ind w:firstLine="480" w:firstLineChars="200"/>
        <w:rPr>
          <w:rFonts w:ascii="仿宋" w:hAnsi="仿宋"/>
        </w:rPr>
      </w:pPr>
      <w:r>
        <w:rPr>
          <w:rFonts w:hint="eastAsia" w:ascii="仿宋" w:hAnsi="仿宋"/>
        </w:rPr>
        <w:t>（三）中国证券登记结算公司登记结算系统故障，未影响市场正常交易，但某一项或者几项业务中断或者延迟超过4小时（不含），在当日内恢复正常，给部分参与人带来影响的；</w:t>
      </w:r>
    </w:p>
    <w:p>
      <w:pPr>
        <w:spacing w:line="360" w:lineRule="auto"/>
        <w:ind w:firstLine="480" w:firstLineChars="200"/>
        <w:rPr>
          <w:rFonts w:ascii="仿宋" w:hAnsi="仿宋"/>
        </w:rPr>
      </w:pPr>
      <w:r>
        <w:rPr>
          <w:rFonts w:hint="eastAsia" w:ascii="仿宋" w:hAnsi="仿宋"/>
        </w:rPr>
        <w:t>（四）证券公司、期货公司集中交易系统或者网上交易系统全部中断、部分中断，影响交易时间累计在5分钟以上的；</w:t>
      </w:r>
    </w:p>
    <w:p>
      <w:pPr>
        <w:spacing w:line="360" w:lineRule="auto"/>
        <w:ind w:firstLine="480" w:firstLineChars="200"/>
        <w:rPr>
          <w:rFonts w:ascii="仿宋" w:hAnsi="仿宋"/>
        </w:rPr>
      </w:pPr>
      <w:r>
        <w:rPr>
          <w:rFonts w:hint="eastAsia" w:ascii="仿宋" w:hAnsi="仿宋"/>
        </w:rPr>
        <w:t>（五）证券公司第三方存管系统、融资融券系统全部或者部分停止运行，影响业务时间累计30分钟以上，期货公司银期转账系统全部或者部分停止运行，影响业务时间累计30分钟以上的；</w:t>
      </w:r>
    </w:p>
    <w:p>
      <w:pPr>
        <w:spacing w:line="360" w:lineRule="auto"/>
        <w:ind w:firstLine="480" w:firstLineChars="200"/>
        <w:rPr>
          <w:rFonts w:ascii="仿宋" w:hAnsi="仿宋"/>
        </w:rPr>
      </w:pPr>
      <w:r>
        <w:rPr>
          <w:rFonts w:hint="eastAsia" w:ascii="仿宋" w:hAnsi="仿宋"/>
        </w:rPr>
        <w:t>（六）有效客户数在10万人以下的证券公司、期货公司结算系统发生故障，在开市前未能完成前一交易日的结算或者结算数据出现错误，影响投资者正常交易的；</w:t>
      </w:r>
    </w:p>
    <w:p>
      <w:pPr>
        <w:spacing w:line="360" w:lineRule="auto"/>
        <w:ind w:firstLine="496" w:firstLineChars="200"/>
        <w:rPr>
          <w:rFonts w:ascii="仿宋" w:hAnsi="仿宋"/>
        </w:rPr>
      </w:pPr>
      <w:r>
        <w:rPr>
          <w:rFonts w:hint="eastAsia" w:ascii="仿宋" w:hAnsi="仿宋"/>
          <w:spacing w:val="4"/>
        </w:rPr>
        <w:t>（七）基金销售、会计核算或者注册登记系统发生严重故障，</w:t>
      </w:r>
      <w:r>
        <w:rPr>
          <w:rFonts w:hint="eastAsia" w:ascii="仿宋" w:hAnsi="仿宋"/>
        </w:rPr>
        <w:t>且备份系统预计在2小时内无法恢复，影响10万人以下的投资者当日或者后续交易日基金正常申购赎回的；</w:t>
      </w:r>
    </w:p>
    <w:p>
      <w:pPr>
        <w:spacing w:line="360" w:lineRule="auto"/>
        <w:ind w:firstLine="480" w:firstLineChars="200"/>
        <w:rPr>
          <w:rFonts w:ascii="仿宋" w:hAnsi="仿宋"/>
        </w:rPr>
      </w:pPr>
      <w:r>
        <w:rPr>
          <w:rFonts w:hint="eastAsia" w:ascii="仿宋" w:hAnsi="仿宋"/>
        </w:rPr>
        <w:t>（八）提供现场交易服务的证券公司分支机构、期货公司营业部现场行情或者现场交易系统发生故障,影响交易时间累计2小时以上的；</w:t>
      </w:r>
    </w:p>
    <w:p>
      <w:pPr>
        <w:spacing w:line="360" w:lineRule="auto"/>
        <w:ind w:firstLine="480" w:firstLineChars="200"/>
        <w:rPr>
          <w:rFonts w:ascii="仿宋" w:hAnsi="仿宋"/>
        </w:rPr>
      </w:pPr>
      <w:r>
        <w:rPr>
          <w:rFonts w:hint="eastAsia" w:ascii="仿宋" w:hAnsi="仿宋"/>
        </w:rPr>
        <w:t>（九）10万人以下的投资者数据发生损毁或者错误等异常情况，影响当日或者后续交易日正常交易的；</w:t>
      </w:r>
    </w:p>
    <w:p>
      <w:pPr>
        <w:spacing w:line="360" w:lineRule="auto"/>
        <w:ind w:firstLine="480" w:firstLineChars="200"/>
        <w:rPr>
          <w:rFonts w:ascii="仿宋" w:hAnsi="仿宋"/>
        </w:rPr>
      </w:pPr>
      <w:r>
        <w:rPr>
          <w:rFonts w:hint="eastAsia" w:ascii="仿宋" w:hAnsi="仿宋"/>
        </w:rPr>
        <w:t>（十）10万人以下的投资者数据发生泄露的；</w:t>
      </w:r>
    </w:p>
    <w:p>
      <w:pPr>
        <w:spacing w:line="360" w:lineRule="auto"/>
        <w:ind w:firstLine="480" w:firstLineChars="200"/>
        <w:rPr>
          <w:rFonts w:ascii="仿宋" w:hAnsi="仿宋"/>
        </w:rPr>
      </w:pPr>
      <w:r>
        <w:rPr>
          <w:rFonts w:hint="eastAsia" w:ascii="仿宋" w:hAnsi="仿宋"/>
        </w:rPr>
        <w:t>（十一）其他对投资者合法权益、证券期货市场造成较大影响的事件。</w:t>
      </w:r>
    </w:p>
    <w:p>
      <w:pPr>
        <w:spacing w:line="360" w:lineRule="auto"/>
        <w:ind w:firstLine="480" w:firstLineChars="200"/>
        <w:rPr>
          <w:rFonts w:ascii="仿宋" w:hAnsi="仿宋"/>
        </w:rPr>
      </w:pPr>
      <w:r>
        <w:rPr>
          <w:rFonts w:hint="eastAsia" w:ascii="仿宋" w:hAnsi="仿宋"/>
        </w:rPr>
        <w:t>第十三条 一般事件是指对投资者合法权益造成损害或者对证券期货市场造成影响的信息安全事件。符合下列情形之一，且未达到较大事件的为一般事件：</w:t>
      </w:r>
    </w:p>
    <w:p>
      <w:pPr>
        <w:spacing w:line="360" w:lineRule="auto"/>
        <w:ind w:firstLine="480" w:firstLineChars="200"/>
        <w:rPr>
          <w:rFonts w:ascii="仿宋" w:hAnsi="仿宋"/>
        </w:rPr>
      </w:pPr>
      <w:r>
        <w:rPr>
          <w:rFonts w:hint="eastAsia" w:ascii="仿宋" w:hAnsi="仿宋"/>
        </w:rPr>
        <w:t>（一）证券交易所交易、通信、行情发布系统中断，受影响营业部或者交易单元比例未达到5%，或者交易中断的证券只数未达到5%的；</w:t>
      </w:r>
    </w:p>
    <w:p>
      <w:pPr>
        <w:spacing w:line="360" w:lineRule="auto"/>
        <w:ind w:firstLine="480" w:firstLineChars="200"/>
        <w:rPr>
          <w:rFonts w:ascii="仿宋" w:hAnsi="仿宋"/>
        </w:rPr>
      </w:pPr>
      <w:r>
        <w:rPr>
          <w:rFonts w:hint="eastAsia" w:ascii="仿宋" w:hAnsi="仿宋"/>
        </w:rPr>
        <w:t>（二）期货交易所交易业务系统全部中断、部分中断，影响交易时间在3分钟以下的；</w:t>
      </w:r>
    </w:p>
    <w:p>
      <w:pPr>
        <w:spacing w:line="360" w:lineRule="auto"/>
        <w:ind w:firstLine="480" w:firstLineChars="200"/>
        <w:rPr>
          <w:rFonts w:ascii="仿宋" w:hAnsi="仿宋"/>
        </w:rPr>
      </w:pPr>
      <w:r>
        <w:rPr>
          <w:rFonts w:hint="eastAsia" w:ascii="仿宋" w:hAnsi="仿宋"/>
        </w:rPr>
        <w:t>（三）中国证券登记结算公司登记结算系统故障，未影响市场正常交易，但某一项或者几项业务中断或者延迟超过2小时（不含），在当日内恢复正常，给部分参与人带来影响的；</w:t>
      </w:r>
    </w:p>
    <w:p>
      <w:pPr>
        <w:spacing w:line="360" w:lineRule="auto"/>
        <w:ind w:firstLine="480" w:firstLineChars="200"/>
        <w:rPr>
          <w:rFonts w:ascii="仿宋" w:hAnsi="仿宋"/>
        </w:rPr>
      </w:pPr>
      <w:r>
        <w:rPr>
          <w:rFonts w:hint="eastAsia" w:ascii="仿宋" w:hAnsi="仿宋"/>
        </w:rPr>
        <w:t>（四）证券公司、期货公司集中交易系统或者网上交易系统全部中断、部分中断，影响交易时间累计在5分钟以下的；</w:t>
      </w:r>
    </w:p>
    <w:p>
      <w:pPr>
        <w:spacing w:line="360" w:lineRule="auto"/>
        <w:ind w:firstLine="480" w:firstLineChars="200"/>
        <w:rPr>
          <w:rFonts w:ascii="仿宋" w:hAnsi="仿宋"/>
        </w:rPr>
      </w:pPr>
      <w:r>
        <w:rPr>
          <w:rFonts w:hint="eastAsia" w:ascii="仿宋" w:hAnsi="仿宋"/>
        </w:rPr>
        <w:t>（五）证券公司第三方存管系统、融资融券系统全部或者部分停止运行，影响业务时间累计30分钟以下，期货公司银期转账系统全部或者部分停止运行，影响业务时间累计30分钟以下的；</w:t>
      </w:r>
    </w:p>
    <w:p>
      <w:pPr>
        <w:spacing w:line="360" w:lineRule="auto"/>
        <w:ind w:firstLine="480" w:firstLineChars="200"/>
        <w:rPr>
          <w:rFonts w:ascii="仿宋" w:hAnsi="仿宋"/>
        </w:rPr>
      </w:pPr>
      <w:r>
        <w:rPr>
          <w:rFonts w:hint="eastAsia" w:ascii="仿宋" w:hAnsi="仿宋"/>
        </w:rPr>
        <w:t>（六）提供现场交易服务的证券公司分支机构、期货公司营业部现场行情或者现场交易系统发生故障，影响交易时间累计2小时以下的；</w:t>
      </w:r>
    </w:p>
    <w:p>
      <w:pPr>
        <w:spacing w:line="360" w:lineRule="auto"/>
        <w:ind w:firstLine="480" w:firstLineChars="200"/>
        <w:rPr>
          <w:rFonts w:ascii="仿宋" w:hAnsi="仿宋"/>
        </w:rPr>
      </w:pPr>
      <w:r>
        <w:rPr>
          <w:rFonts w:hint="eastAsia" w:ascii="仿宋" w:hAnsi="仿宋"/>
        </w:rPr>
        <w:t>（七）其他对投资者合法权益、证券期货市场造成影响的事件。</w:t>
      </w:r>
    </w:p>
    <w:p>
      <w:pPr>
        <w:spacing w:line="360" w:lineRule="auto"/>
        <w:ind w:firstLine="480" w:firstLineChars="200"/>
        <w:rPr>
          <w:rFonts w:ascii="仿宋" w:hAnsi="仿宋"/>
        </w:rPr>
      </w:pPr>
      <w:r>
        <w:rPr>
          <w:rFonts w:hint="eastAsia" w:ascii="仿宋" w:hAnsi="仿宋"/>
        </w:rPr>
        <w:t>第十四条 本章所称的“以上”包括本数，所称的“以下”不包括本数。</w:t>
      </w:r>
    </w:p>
    <w:p>
      <w:pPr>
        <w:spacing w:line="360" w:lineRule="auto"/>
        <w:ind w:firstLine="480" w:firstLineChars="200"/>
        <w:rPr>
          <w:rFonts w:ascii="仿宋" w:hAnsi="仿宋"/>
        </w:rPr>
      </w:pPr>
      <w:r>
        <w:rPr>
          <w:rFonts w:hint="eastAsia" w:ascii="仿宋" w:hAnsi="仿宋"/>
        </w:rPr>
        <w:t>本章所称的“有效客户数”以证券公司、期货公司向中国证监会及其派出机构上报的发生信息安全事件之前一个月的合格账户期末数为准。合格账户是指开户资料真实、准确、完整，投资者身份真实，资产权属关系清晰，符合相关规定的账户。</w:t>
      </w:r>
    </w:p>
    <w:p>
      <w:pPr>
        <w:spacing w:line="360" w:lineRule="auto"/>
        <w:ind w:firstLine="480" w:firstLineChars="200"/>
        <w:rPr>
          <w:rFonts w:ascii="仿宋" w:hAnsi="仿宋"/>
        </w:rPr>
      </w:pPr>
    </w:p>
    <w:p>
      <w:pPr>
        <w:spacing w:line="360" w:lineRule="auto"/>
        <w:ind w:firstLine="480" w:firstLineChars="200"/>
      </w:pPr>
      <w:r>
        <w:rPr>
          <w:rFonts w:hint="eastAsia"/>
        </w:rPr>
        <w:t>3、应当进行应急报告的信息安全事件情形以及应急报告的报告要求和对象</w:t>
      </w:r>
    </w:p>
    <w:p>
      <w:pPr>
        <w:spacing w:line="360" w:lineRule="auto"/>
        <w:ind w:firstLine="480" w:firstLineChars="200"/>
        <w:rPr>
          <w:rFonts w:ascii="仿宋" w:hAnsi="仿宋"/>
        </w:rPr>
      </w:pPr>
      <w:r>
        <w:rPr>
          <w:rFonts w:hint="eastAsia" w:ascii="仿宋" w:hAnsi="仿宋"/>
        </w:rPr>
        <w:t>依据：第十六条 核心机构和经营机构应当建立信息安全应急处置机制，及时处置信息安全事件，尽快恢复信息系统的正常运行，保护事件现场和相关证据，并按照下列要求进行应急报告：</w:t>
      </w:r>
    </w:p>
    <w:p>
      <w:pPr>
        <w:spacing w:line="360" w:lineRule="auto"/>
        <w:ind w:firstLine="496" w:firstLineChars="200"/>
        <w:rPr>
          <w:rFonts w:ascii="仿宋" w:hAnsi="仿宋"/>
        </w:rPr>
      </w:pPr>
      <w:r>
        <w:rPr>
          <w:rFonts w:hint="eastAsia" w:ascii="仿宋" w:hAnsi="仿宋"/>
          <w:spacing w:val="4"/>
        </w:rPr>
        <w:t>（一）核心机构重要信息系统发生可能导致或者已经造成交</w:t>
      </w:r>
      <w:r>
        <w:rPr>
          <w:rFonts w:hint="eastAsia" w:ascii="仿宋" w:hAnsi="仿宋"/>
        </w:rPr>
        <w:t>易中断、严重缓慢的重大故障后，应当立即报告，并每隔30分钟至少上报一次，直至信息系统恢复正常运行；如有重要情况应当立即报告；</w:t>
      </w:r>
    </w:p>
    <w:p>
      <w:pPr>
        <w:spacing w:line="360" w:lineRule="auto"/>
        <w:ind w:firstLine="480" w:firstLineChars="200"/>
        <w:rPr>
          <w:rFonts w:ascii="仿宋" w:hAnsi="仿宋"/>
        </w:rPr>
      </w:pPr>
      <w:r>
        <w:rPr>
          <w:rFonts w:hint="eastAsia" w:ascii="仿宋" w:hAnsi="仿宋"/>
        </w:rPr>
        <w:t>（二）证券、期货公司集中交易系统发生故障，可能导致或者已经造成交易中断、严重缓慢的，应当立即报告，并每隔30分钟至少上报一次，直至信息系统恢复正常运行；如有重要情况应当立即报告；</w:t>
      </w:r>
    </w:p>
    <w:p>
      <w:pPr>
        <w:spacing w:line="360" w:lineRule="auto"/>
        <w:ind w:firstLine="480" w:firstLineChars="200"/>
        <w:rPr>
          <w:rFonts w:ascii="仿宋" w:hAnsi="仿宋"/>
        </w:rPr>
      </w:pPr>
      <w:r>
        <w:rPr>
          <w:rFonts w:hint="eastAsia" w:ascii="仿宋" w:hAnsi="仿宋"/>
        </w:rPr>
        <w:t>（三）</w:t>
      </w:r>
      <w:bookmarkStart w:id="229" w:name="OLE_LINK2"/>
      <w:r>
        <w:rPr>
          <w:rFonts w:hint="eastAsia" w:ascii="仿宋" w:hAnsi="仿宋"/>
        </w:rPr>
        <w:t>核心机构和经营机构其他信息系统发生故障，影响投资者正常业务办理，原则上30分钟内无法恢复业务正常运行的，应当立即报告，</w:t>
      </w:r>
      <w:bookmarkEnd w:id="229"/>
      <w:r>
        <w:rPr>
          <w:rFonts w:hint="eastAsia" w:ascii="仿宋" w:hAnsi="仿宋"/>
        </w:rPr>
        <w:t>并每隔1小时至少上报一次，直至业务和信息系统恢复正常运行；如有重要情况应当立即报告；</w:t>
      </w:r>
    </w:p>
    <w:p>
      <w:pPr>
        <w:spacing w:line="360" w:lineRule="auto"/>
        <w:ind w:firstLine="496" w:firstLineChars="200"/>
        <w:rPr>
          <w:rFonts w:ascii="仿宋" w:hAnsi="仿宋"/>
        </w:rPr>
      </w:pPr>
      <w:r>
        <w:rPr>
          <w:rFonts w:hint="eastAsia" w:ascii="仿宋" w:hAnsi="仿宋"/>
          <w:spacing w:val="4"/>
        </w:rPr>
        <w:t>（四）核心机构和经营机构发生投资者数据损毁或者泄露的</w:t>
      </w:r>
      <w:r>
        <w:rPr>
          <w:rFonts w:hint="eastAsia" w:ascii="仿宋" w:hAnsi="仿宋"/>
        </w:rPr>
        <w:t>事件，应当立即报告，在事件解决前，如有重要情况应当立即报告；</w:t>
      </w:r>
    </w:p>
    <w:p>
      <w:pPr>
        <w:spacing w:line="360" w:lineRule="auto"/>
        <w:ind w:firstLine="480" w:firstLineChars="200"/>
        <w:rPr>
          <w:rFonts w:ascii="仿宋" w:hAnsi="仿宋"/>
        </w:rPr>
      </w:pPr>
      <w:r>
        <w:rPr>
          <w:rFonts w:hint="eastAsia" w:ascii="仿宋" w:hAnsi="仿宋"/>
        </w:rPr>
        <w:t>（五）核心机构和经营机构发生涉及计算机犯罪的事件，应当立即报告，在事件解决前，如有重要情况应当立即报告。</w:t>
      </w:r>
    </w:p>
    <w:p>
      <w:pPr>
        <w:spacing w:line="360" w:lineRule="auto"/>
        <w:ind w:firstLine="480" w:firstLineChars="200"/>
        <w:rPr>
          <w:rFonts w:ascii="仿宋" w:hAnsi="仿宋"/>
        </w:rPr>
      </w:pPr>
      <w:r>
        <w:rPr>
          <w:rFonts w:hint="eastAsia" w:ascii="仿宋" w:hAnsi="仿宋"/>
        </w:rPr>
        <w:t>第二十条 核心机构或者经营机构应当按照下列规定向有关机构进行报告：</w:t>
      </w:r>
    </w:p>
    <w:p>
      <w:pPr>
        <w:spacing w:line="360" w:lineRule="auto"/>
        <w:ind w:firstLine="480" w:firstLineChars="200"/>
        <w:rPr>
          <w:rFonts w:ascii="仿宋" w:hAnsi="仿宋"/>
        </w:rPr>
      </w:pPr>
      <w:r>
        <w:rPr>
          <w:rFonts w:hint="eastAsia" w:ascii="仿宋" w:hAnsi="仿宋"/>
        </w:rPr>
        <w:t>（一）核心机构应当向中国证监会进行预警报告、应急报告和事件总结报告；</w:t>
      </w:r>
    </w:p>
    <w:p>
      <w:pPr>
        <w:spacing w:line="360" w:lineRule="auto"/>
        <w:ind w:firstLine="480" w:firstLineChars="200"/>
        <w:rPr>
          <w:rFonts w:ascii="仿宋" w:hAnsi="仿宋"/>
        </w:rPr>
      </w:pPr>
      <w:r>
        <w:rPr>
          <w:rFonts w:hint="eastAsia" w:ascii="仿宋" w:hAnsi="仿宋"/>
        </w:rPr>
        <w:t>（二）核心机构发生信息安全事件影响到其它机构的，应当及时向有关机构进行应急通报；</w:t>
      </w:r>
    </w:p>
    <w:p>
      <w:pPr>
        <w:spacing w:line="360" w:lineRule="auto"/>
        <w:ind w:firstLine="496" w:firstLineChars="200"/>
        <w:rPr>
          <w:rFonts w:ascii="仿宋" w:hAnsi="仿宋"/>
        </w:rPr>
      </w:pPr>
      <w:r>
        <w:rPr>
          <w:rFonts w:hint="eastAsia" w:ascii="仿宋" w:hAnsi="仿宋"/>
          <w:spacing w:val="4"/>
        </w:rPr>
        <w:t>（三）经营机构应当向住所地中国证监会派出机构进行预警</w:t>
      </w:r>
      <w:r>
        <w:rPr>
          <w:rFonts w:hint="eastAsia" w:ascii="仿宋" w:hAnsi="仿宋"/>
        </w:rPr>
        <w:t>报告、应急报告和事件总结报告，经营机构分支机构应当向所在地中国证监会派出机构进行预警报告、应急报告和事件总结报告。事件总结报告同时抄送中国证券业、期货业或者证券投资基金业协会；</w:t>
      </w:r>
    </w:p>
    <w:p>
      <w:pPr>
        <w:spacing w:line="360" w:lineRule="auto"/>
        <w:ind w:firstLine="488" w:firstLineChars="200"/>
        <w:rPr>
          <w:rFonts w:ascii="仿宋" w:hAnsi="仿宋"/>
        </w:rPr>
      </w:pPr>
      <w:r>
        <w:rPr>
          <w:rFonts w:hint="eastAsia" w:ascii="仿宋" w:hAnsi="仿宋"/>
          <w:spacing w:val="2"/>
        </w:rPr>
        <w:t>（四）经营机构发生信息安全事件影响到证券期货交易业务</w:t>
      </w:r>
      <w:r>
        <w:rPr>
          <w:rFonts w:hint="eastAsia" w:ascii="仿宋" w:hAnsi="仿宋"/>
        </w:rPr>
        <w:t>时，应当同时向相关证券期货交易所进行应急报告和事件总结报告；影响到证券登记结算业务时，应当同时向中国证券登记结算公司进行应急报告和事件总结报告；影响到转融通业务时，应当同时向中国证券金融公司进行应急报告和事件总结报告；影响到其他机构的，应当及时向有关机构进行应急通报；</w:t>
      </w:r>
    </w:p>
    <w:p>
      <w:pPr>
        <w:spacing w:line="360" w:lineRule="auto"/>
        <w:ind w:firstLine="480" w:firstLineChars="200"/>
        <w:rPr>
          <w:rFonts w:ascii="仿宋" w:hAnsi="仿宋"/>
        </w:rPr>
      </w:pPr>
      <w:r>
        <w:rPr>
          <w:rFonts w:hint="eastAsia" w:ascii="仿宋" w:hAnsi="仿宋"/>
        </w:rPr>
        <w:t>（五）核心机构或者经营机构发生涉及计算机犯罪的事件，应当向公安机关进行应急报告。</w:t>
      </w:r>
    </w:p>
    <w:p>
      <w:pPr>
        <w:spacing w:line="360" w:lineRule="auto"/>
        <w:ind w:firstLine="480" w:firstLineChars="200"/>
        <w:rPr>
          <w:rFonts w:ascii="仿宋" w:hAnsi="仿宋"/>
        </w:rPr>
      </w:pPr>
    </w:p>
    <w:p>
      <w:pPr>
        <w:spacing w:line="360" w:lineRule="auto"/>
        <w:ind w:firstLine="480" w:firstLineChars="200"/>
      </w:pPr>
      <w:r>
        <w:rPr>
          <w:rFonts w:hint="eastAsia"/>
        </w:rPr>
        <w:t>4、发生信息安全事件的机构有何种情形时会受到行政处罚</w:t>
      </w:r>
    </w:p>
    <w:p>
      <w:pPr>
        <w:spacing w:line="360" w:lineRule="auto"/>
        <w:ind w:firstLine="480" w:firstLineChars="200"/>
        <w:rPr>
          <w:rFonts w:ascii="仿宋" w:hAnsi="仿宋"/>
        </w:rPr>
      </w:pPr>
      <w:r>
        <w:rPr>
          <w:rFonts w:hint="eastAsia" w:ascii="仿宋" w:hAnsi="仿宋"/>
        </w:rPr>
        <w:t>依据：第三十一条 发生信息安全事件的机构有以下情形之一的，中国证监会或者其派出机构依照有关法律、行政法规和规章，对其采取监督管理措施或者实施行政处罚：</w:t>
      </w:r>
    </w:p>
    <w:p>
      <w:pPr>
        <w:spacing w:line="360" w:lineRule="auto"/>
        <w:ind w:firstLine="480" w:firstLineChars="200"/>
        <w:rPr>
          <w:rFonts w:ascii="仿宋" w:hAnsi="仿宋"/>
        </w:rPr>
      </w:pPr>
      <w:r>
        <w:rPr>
          <w:rFonts w:hint="eastAsia" w:ascii="仿宋" w:hAnsi="仿宋"/>
        </w:rPr>
        <w:t>（一）未按照本办法规定进行事件报告，存在迟报、漏报、谎报或者瞒报的；</w:t>
      </w:r>
    </w:p>
    <w:p>
      <w:pPr>
        <w:spacing w:line="360" w:lineRule="auto"/>
        <w:ind w:firstLine="480" w:firstLineChars="200"/>
        <w:rPr>
          <w:rFonts w:ascii="仿宋" w:hAnsi="仿宋"/>
        </w:rPr>
      </w:pPr>
      <w:r>
        <w:rPr>
          <w:rFonts w:hint="eastAsia" w:ascii="仿宋" w:hAnsi="仿宋"/>
        </w:rPr>
        <w:t>（二）未妥善保存证据，或者故意</w:t>
      </w:r>
      <w:r>
        <w:rPr>
          <w:rFonts w:ascii="仿宋" w:hAnsi="仿宋"/>
        </w:rPr>
        <w:t>隐匿、伪造、篡改</w:t>
      </w:r>
      <w:r>
        <w:rPr>
          <w:rFonts w:hint="eastAsia" w:ascii="仿宋" w:hAnsi="仿宋"/>
        </w:rPr>
        <w:t>、</w:t>
      </w:r>
      <w:r>
        <w:rPr>
          <w:rFonts w:ascii="仿宋" w:hAnsi="仿宋"/>
        </w:rPr>
        <w:t>毁损</w:t>
      </w:r>
      <w:r>
        <w:rPr>
          <w:rFonts w:hint="eastAsia" w:ascii="仿宋" w:hAnsi="仿宋"/>
        </w:rPr>
        <w:t>有关文件、资料和证据的；</w:t>
      </w:r>
    </w:p>
    <w:p>
      <w:pPr>
        <w:spacing w:line="360" w:lineRule="auto"/>
        <w:ind w:firstLine="488" w:firstLineChars="200"/>
        <w:rPr>
          <w:rFonts w:ascii="仿宋" w:hAnsi="仿宋"/>
        </w:rPr>
      </w:pPr>
      <w:r>
        <w:rPr>
          <w:rFonts w:hint="eastAsia" w:ascii="仿宋" w:hAnsi="仿宋"/>
          <w:spacing w:val="2"/>
        </w:rPr>
        <w:t>（三）未按照中国证监会信息安全通报要求及时采取风险防</w:t>
      </w:r>
      <w:r>
        <w:rPr>
          <w:rFonts w:hint="eastAsia" w:ascii="仿宋" w:hAnsi="仿宋"/>
        </w:rPr>
        <w:t>控措施，导致信息安全事件发生的；</w:t>
      </w:r>
    </w:p>
    <w:p>
      <w:pPr>
        <w:spacing w:line="360" w:lineRule="auto"/>
        <w:ind w:firstLine="488" w:firstLineChars="200"/>
        <w:rPr>
          <w:rFonts w:ascii="仿宋" w:hAnsi="仿宋"/>
        </w:rPr>
      </w:pPr>
      <w:r>
        <w:rPr>
          <w:rFonts w:hint="eastAsia" w:ascii="仿宋" w:hAnsi="仿宋"/>
          <w:spacing w:val="2"/>
        </w:rPr>
        <w:t>（四）未按照中国证监会或者其派出机构的要求进行整改或</w:t>
      </w:r>
      <w:r>
        <w:rPr>
          <w:rFonts w:hint="eastAsia" w:ascii="仿宋" w:hAnsi="仿宋"/>
        </w:rPr>
        <w:t>者整改不到位，导致信息安全事件发生的；</w:t>
      </w:r>
    </w:p>
    <w:p>
      <w:pPr>
        <w:spacing w:line="360" w:lineRule="auto"/>
        <w:ind w:firstLine="480" w:firstLineChars="200"/>
        <w:rPr>
          <w:rFonts w:ascii="仿宋" w:hAnsi="仿宋"/>
        </w:rPr>
      </w:pPr>
      <w:r>
        <w:rPr>
          <w:rFonts w:hint="eastAsia" w:ascii="仿宋" w:hAnsi="仿宋"/>
        </w:rPr>
        <w:t>（五）</w:t>
      </w:r>
      <w:bookmarkStart w:id="230" w:name="OLE_LINK4"/>
      <w:r>
        <w:rPr>
          <w:rFonts w:hint="eastAsia" w:ascii="仿宋" w:hAnsi="仿宋"/>
        </w:rPr>
        <w:t>阻碍、拒绝调查工作</w:t>
      </w:r>
      <w:bookmarkEnd w:id="230"/>
      <w:r>
        <w:rPr>
          <w:rFonts w:hint="eastAsia" w:ascii="仿宋" w:hAnsi="仿宋"/>
        </w:rPr>
        <w:t>的；</w:t>
      </w:r>
    </w:p>
    <w:p>
      <w:pPr>
        <w:spacing w:line="360" w:lineRule="auto"/>
        <w:ind w:firstLine="480" w:firstLineChars="200"/>
        <w:rPr>
          <w:rFonts w:ascii="仿宋" w:hAnsi="仿宋"/>
        </w:rPr>
      </w:pPr>
      <w:r>
        <w:rPr>
          <w:rFonts w:hint="eastAsia" w:ascii="仿宋" w:hAnsi="仿宋"/>
        </w:rPr>
        <w:t>（六）中国证监会及其派出机构认定存在其他恶劣情形的。</w:t>
      </w:r>
    </w:p>
    <w:p>
      <w:pPr>
        <w:pStyle w:val="4"/>
        <w:rPr>
          <w:szCs w:val="24"/>
        </w:rPr>
      </w:pPr>
      <w:bookmarkStart w:id="231" w:name="_Toc400553960"/>
      <w:bookmarkStart w:id="232" w:name="_Toc410115142"/>
      <w:bookmarkStart w:id="233" w:name="_Toc3896754"/>
      <w:r>
        <w:rPr>
          <w:rFonts w:hint="eastAsia" w:ascii="仿宋" w:hAnsi="仿宋"/>
          <w:kern w:val="0"/>
          <w:szCs w:val="24"/>
        </w:rPr>
        <w:t>（三）</w:t>
      </w:r>
      <w:r>
        <w:rPr>
          <w:rFonts w:hint="eastAsia"/>
          <w:szCs w:val="24"/>
        </w:rPr>
        <w:t>《关于加强证券期货经营机构客户交易终端信息等客户信息管理的规定》</w:t>
      </w:r>
      <w:bookmarkEnd w:id="231"/>
      <w:bookmarkEnd w:id="232"/>
      <w:bookmarkEnd w:id="233"/>
    </w:p>
    <w:p>
      <w:pPr>
        <w:spacing w:line="360" w:lineRule="auto"/>
        <w:ind w:firstLine="480" w:firstLineChars="200"/>
        <w:rPr>
          <w:rFonts w:ascii="仿宋" w:hAnsi="仿宋"/>
        </w:rPr>
      </w:pPr>
      <w:r>
        <w:rPr>
          <w:rFonts w:hint="eastAsia" w:ascii="仿宋" w:hAnsi="仿宋"/>
        </w:rPr>
        <w:t>掌握《关于加强证券期货经营机构客户交易终端信息等客户信息管理的规定》有关客户交易终端信息的定义及其包含内容；掌握存储和记录客户交易终端信息的要求；掌握对于客户交易终端信息保存期限和客户交易区监控录像保存期限的要求；掌握有关保密义务和权限管理、建立日志文档的要求；掌握关于影响采集、记录、存储、报送客户交易终端信息安全的重大事件时报送义务的规定。</w:t>
      </w:r>
    </w:p>
    <w:p>
      <w:pPr>
        <w:spacing w:line="360" w:lineRule="auto"/>
        <w:ind w:firstLine="480" w:firstLineChars="200"/>
        <w:rPr>
          <w:rFonts w:ascii="仿宋" w:hAnsi="仿宋"/>
        </w:rPr>
      </w:pPr>
    </w:p>
    <w:p>
      <w:pPr>
        <w:spacing w:line="360" w:lineRule="auto"/>
        <w:ind w:firstLine="480" w:firstLineChars="200"/>
        <w:rPr>
          <w:rFonts w:ascii="仿宋" w:hAnsi="仿宋"/>
        </w:rPr>
      </w:pPr>
      <w:r>
        <w:rPr>
          <w:rFonts w:hint="eastAsia" w:ascii="仿宋" w:hAnsi="仿宋"/>
        </w:rPr>
        <w:t>1、客户交易终端信息的定义及其内容</w:t>
      </w:r>
    </w:p>
    <w:p>
      <w:pPr>
        <w:spacing w:line="360" w:lineRule="auto"/>
        <w:ind w:firstLine="480" w:firstLineChars="200"/>
        <w:rPr>
          <w:rFonts w:ascii="仿宋" w:hAnsi="仿宋"/>
        </w:rPr>
      </w:pPr>
      <w:r>
        <w:rPr>
          <w:rFonts w:hint="eastAsia" w:ascii="仿宋" w:hAnsi="仿宋"/>
        </w:rPr>
        <w:t>依据：</w:t>
      </w:r>
      <w:r>
        <w:rPr>
          <w:rFonts w:hint="eastAsia" w:ascii="仿宋" w:hAnsi="仿宋"/>
          <w:b/>
        </w:rPr>
        <w:t xml:space="preserve"> </w:t>
      </w:r>
      <w:r>
        <w:rPr>
          <w:rFonts w:hint="eastAsia" w:ascii="仿宋" w:hAnsi="仿宋"/>
        </w:rPr>
        <w:t>第三条 客户交易终端信息是指客户通过证券期货经营机构下达交易指令的交易终端特征代码。</w:t>
      </w:r>
    </w:p>
    <w:p>
      <w:pPr>
        <w:spacing w:line="360" w:lineRule="auto"/>
        <w:ind w:firstLine="480" w:firstLineChars="200"/>
        <w:rPr>
          <w:rFonts w:ascii="仿宋" w:hAnsi="仿宋"/>
        </w:rPr>
      </w:pPr>
      <w:r>
        <w:rPr>
          <w:rFonts w:hint="eastAsia" w:ascii="仿宋" w:hAnsi="仿宋"/>
        </w:rPr>
        <w:t>客户交易终端信息是客户委托记录、交易记录的重要组成部分，包括但不限于以下内容：电话号码、互联网通讯协议地址（IP地址）、媒介访问控制地址（MAC地址）以及其他能识别客户交易终端的特征代码。</w:t>
      </w:r>
    </w:p>
    <w:p>
      <w:pPr>
        <w:spacing w:line="360" w:lineRule="auto"/>
        <w:ind w:firstLine="480" w:firstLineChars="200"/>
        <w:rPr>
          <w:rFonts w:ascii="仿宋" w:hAnsi="仿宋"/>
        </w:rPr>
      </w:pPr>
    </w:p>
    <w:p>
      <w:pPr>
        <w:spacing w:line="360" w:lineRule="auto"/>
        <w:ind w:firstLine="480" w:firstLineChars="200"/>
        <w:rPr>
          <w:rFonts w:ascii="仿宋" w:hAnsi="仿宋"/>
        </w:rPr>
      </w:pPr>
      <w:r>
        <w:rPr>
          <w:rFonts w:hint="eastAsia" w:ascii="仿宋" w:hAnsi="仿宋"/>
        </w:rPr>
        <w:t>2、客户交易终端信息存储和记录的要求</w:t>
      </w:r>
    </w:p>
    <w:p>
      <w:pPr>
        <w:spacing w:line="360" w:lineRule="auto"/>
        <w:ind w:firstLine="480" w:firstLineChars="200"/>
        <w:rPr>
          <w:rFonts w:ascii="仿宋" w:hAnsi="仿宋"/>
        </w:rPr>
      </w:pPr>
      <w:r>
        <w:rPr>
          <w:rFonts w:hint="eastAsia" w:ascii="仿宋" w:hAnsi="仿宋"/>
        </w:rPr>
        <w:t>依据：第八条  证券期货经营机构应当确保存储在集中交易系统和记录在外围信息系统的客户交易终端信息的真实性、准确性、完整性、一致性、可读性。</w:t>
      </w:r>
    </w:p>
    <w:p>
      <w:pPr>
        <w:spacing w:line="360" w:lineRule="auto"/>
        <w:ind w:firstLine="480" w:firstLineChars="200"/>
        <w:rPr>
          <w:rFonts w:ascii="仿宋" w:hAnsi="仿宋"/>
        </w:rPr>
      </w:pPr>
    </w:p>
    <w:p>
      <w:pPr>
        <w:spacing w:line="360" w:lineRule="auto"/>
        <w:ind w:firstLine="480" w:firstLineChars="200"/>
        <w:rPr>
          <w:rFonts w:ascii="仿宋" w:hAnsi="仿宋"/>
        </w:rPr>
      </w:pPr>
      <w:r>
        <w:rPr>
          <w:rFonts w:hint="eastAsia" w:ascii="仿宋" w:hAnsi="仿宋"/>
        </w:rPr>
        <w:t>3、客户交易终端信息保存期限和客户交易区监控录像保存期限</w:t>
      </w:r>
    </w:p>
    <w:p>
      <w:pPr>
        <w:spacing w:line="360" w:lineRule="auto"/>
        <w:ind w:firstLine="480" w:firstLineChars="200"/>
        <w:rPr>
          <w:rFonts w:ascii="仿宋" w:hAnsi="仿宋"/>
        </w:rPr>
      </w:pPr>
      <w:r>
        <w:rPr>
          <w:rFonts w:hint="eastAsia" w:ascii="仿宋" w:hAnsi="仿宋"/>
        </w:rPr>
        <w:t>依据：第十二条 证券期货经营机构应妥善保存客户交易终端信息和开户资料电子化信息，保存期限不得少于20年。</w:t>
      </w:r>
    </w:p>
    <w:p>
      <w:pPr>
        <w:spacing w:line="360" w:lineRule="auto"/>
        <w:ind w:firstLine="480" w:firstLineChars="200"/>
        <w:rPr>
          <w:rFonts w:ascii="仿宋" w:hAnsi="仿宋"/>
        </w:rPr>
      </w:pPr>
      <w:r>
        <w:rPr>
          <w:rFonts w:hint="eastAsia" w:ascii="仿宋" w:hAnsi="仿宋"/>
        </w:rPr>
        <w:t>证券期货经营机构应妥善保存交易时段客户交易区的监控录像资料，保存期限不得少于6个月。</w:t>
      </w:r>
    </w:p>
    <w:p>
      <w:pPr>
        <w:spacing w:line="360" w:lineRule="auto"/>
        <w:ind w:firstLine="480" w:firstLineChars="200"/>
        <w:rPr>
          <w:rFonts w:ascii="仿宋" w:hAnsi="仿宋"/>
        </w:rPr>
      </w:pPr>
    </w:p>
    <w:p>
      <w:pPr>
        <w:spacing w:line="360" w:lineRule="auto"/>
        <w:ind w:firstLine="480" w:firstLineChars="200"/>
        <w:rPr>
          <w:rFonts w:ascii="仿宋" w:hAnsi="仿宋"/>
        </w:rPr>
      </w:pPr>
      <w:r>
        <w:rPr>
          <w:rFonts w:hint="eastAsia" w:ascii="仿宋" w:hAnsi="仿宋"/>
        </w:rPr>
        <w:t>4、客户交易终端信息权限管理和建立日志文档的要求；</w:t>
      </w:r>
    </w:p>
    <w:p>
      <w:pPr>
        <w:spacing w:line="360" w:lineRule="auto"/>
        <w:ind w:firstLine="480" w:firstLineChars="200"/>
        <w:rPr>
          <w:rFonts w:ascii="仿宋" w:hAnsi="仿宋"/>
        </w:rPr>
      </w:pPr>
      <w:r>
        <w:rPr>
          <w:rFonts w:hint="eastAsia" w:ascii="仿宋" w:hAnsi="仿宋"/>
        </w:rPr>
        <w:t>依据：第十四条 证券期货经营机构应当严格限制对客户交易终端信息的人工操作权限，明确查询权限和操作流程，建立日志文档并指定专人妥善保管。</w:t>
      </w:r>
      <w:r>
        <w:rPr>
          <w:rFonts w:ascii="仿宋" w:hAnsi="仿宋"/>
        </w:rPr>
        <w:br w:type="textWrapping"/>
      </w:r>
      <w:r>
        <w:rPr>
          <w:rFonts w:hint="eastAsia" w:ascii="仿宋" w:hAnsi="仿宋"/>
        </w:rPr>
        <w:t xml:space="preserve">    禁止任何人对客户交易终端信息进行隐匿、伪造、篡改或毁损。</w:t>
      </w:r>
    </w:p>
    <w:p>
      <w:pPr>
        <w:spacing w:line="360" w:lineRule="auto"/>
        <w:ind w:firstLine="480" w:firstLineChars="200"/>
        <w:rPr>
          <w:rFonts w:ascii="仿宋" w:hAnsi="仿宋"/>
        </w:rPr>
      </w:pPr>
    </w:p>
    <w:p>
      <w:pPr>
        <w:spacing w:line="360" w:lineRule="auto"/>
        <w:ind w:firstLine="480" w:firstLineChars="200"/>
        <w:rPr>
          <w:rFonts w:ascii="仿宋" w:hAnsi="仿宋"/>
        </w:rPr>
      </w:pPr>
      <w:r>
        <w:rPr>
          <w:rFonts w:hint="eastAsia" w:ascii="仿宋" w:hAnsi="仿宋"/>
        </w:rPr>
        <w:t>5、发生影响采集、记录、存储、报送客户交易终端信息安全的重大事件时报送义务的规定。</w:t>
      </w:r>
    </w:p>
    <w:p>
      <w:pPr>
        <w:spacing w:line="360" w:lineRule="auto"/>
        <w:ind w:firstLine="480" w:firstLineChars="200"/>
        <w:rPr>
          <w:rFonts w:ascii="仿宋" w:hAnsi="仿宋"/>
        </w:rPr>
      </w:pPr>
      <w:r>
        <w:rPr>
          <w:rFonts w:hint="eastAsia" w:ascii="仿宋" w:hAnsi="仿宋"/>
        </w:rPr>
        <w:t>依据：第十五条 发生影响采集、记录、存储、报送客户交易终端信息安全的重大事件时，证券期货经营机构应当及时向公司住所地和事件发生地证监局报告，不得隐瞒。</w:t>
      </w:r>
    </w:p>
    <w:p>
      <w:pPr>
        <w:pStyle w:val="4"/>
        <w:rPr>
          <w:szCs w:val="24"/>
        </w:rPr>
      </w:pPr>
      <w:bookmarkStart w:id="234" w:name="_Toc400553961"/>
      <w:bookmarkStart w:id="235" w:name="_Toc410115143"/>
      <w:bookmarkStart w:id="236" w:name="_Toc3896755"/>
      <w:r>
        <w:rPr>
          <w:rFonts w:hint="eastAsia" w:ascii="仿宋" w:hAnsi="仿宋"/>
          <w:kern w:val="0"/>
          <w:szCs w:val="24"/>
        </w:rPr>
        <w:t>（四）</w:t>
      </w:r>
      <w:r>
        <w:rPr>
          <w:rFonts w:hint="eastAsia"/>
          <w:szCs w:val="24"/>
        </w:rPr>
        <w:t>了解《期货公司信息技术管理指引》和《证券期货业信息系统安全等级保护基本要求（试行）》。</w:t>
      </w:r>
      <w:bookmarkEnd w:id="234"/>
      <w:bookmarkEnd w:id="235"/>
      <w:bookmarkEnd w:id="236"/>
    </w:p>
    <w:p>
      <w:pPr>
        <w:pStyle w:val="3"/>
        <w:rPr>
          <w:sz w:val="24"/>
          <w:szCs w:val="24"/>
        </w:rPr>
      </w:pPr>
      <w:bookmarkStart w:id="237" w:name="_Toc399750561"/>
      <w:bookmarkStart w:id="238" w:name="_Toc400553962"/>
      <w:bookmarkStart w:id="239" w:name="_Toc410115144"/>
      <w:bookmarkStart w:id="240" w:name="_Toc3896756"/>
      <w:r>
        <w:rPr>
          <w:rFonts w:hint="eastAsia"/>
          <w:sz w:val="24"/>
          <w:szCs w:val="24"/>
        </w:rPr>
        <w:t>三、关于风险管理子公司</w:t>
      </w:r>
      <w:bookmarkEnd w:id="237"/>
      <w:bookmarkEnd w:id="238"/>
      <w:bookmarkEnd w:id="239"/>
      <w:bookmarkEnd w:id="240"/>
    </w:p>
    <w:p>
      <w:pPr>
        <w:spacing w:line="360" w:lineRule="auto"/>
        <w:ind w:firstLine="480" w:firstLineChars="200"/>
        <w:rPr>
          <w:rFonts w:ascii="仿宋" w:hAnsi="仿宋"/>
        </w:rPr>
      </w:pPr>
      <w:bookmarkStart w:id="241" w:name="_Toc400553963"/>
      <w:bookmarkStart w:id="242" w:name="_Toc403654023"/>
      <w:bookmarkStart w:id="243" w:name="_Toc403829823"/>
      <w:bookmarkStart w:id="244" w:name="_Toc410115151"/>
      <w:r>
        <w:rPr>
          <w:rFonts w:hint="eastAsia" w:ascii="仿宋" w:hAnsi="仿宋"/>
        </w:rPr>
        <w:t>《期货公司风险管理公司业务试点指引》</w:t>
      </w:r>
      <w:bookmarkEnd w:id="241"/>
    </w:p>
    <w:p>
      <w:pPr>
        <w:spacing w:line="360" w:lineRule="auto"/>
        <w:ind w:firstLine="480" w:firstLineChars="200"/>
        <w:rPr>
          <w:rFonts w:ascii="仿宋" w:hAnsi="仿宋"/>
        </w:rPr>
      </w:pPr>
      <w:r>
        <w:rPr>
          <w:rFonts w:hint="eastAsia" w:ascii="仿宋" w:hAnsi="仿宋"/>
        </w:rPr>
        <w:t>掌握风险管理公司可以开展的试点业务范围及对不同类型业务的分类管理，并明确相关试点业务的定义；掌握风险管理公司备案要求；掌握风险管理公司业务规范及内控管理的相关规定；了解期货公司、风险管理公司的信息报送与披露要求；了解开展试点业务过程中违反自律规则时，协会可以采取的自律管理措施。</w:t>
      </w:r>
    </w:p>
    <w:p>
      <w:pPr>
        <w:keepNext/>
        <w:keepLines/>
        <w:spacing w:before="260" w:after="260" w:line="416" w:lineRule="auto"/>
        <w:outlineLvl w:val="2"/>
        <w:rPr>
          <w:rFonts w:ascii="仿宋" w:hAnsi="仿宋"/>
          <w:b/>
          <w:bCs/>
          <w:kern w:val="0"/>
        </w:rPr>
      </w:pPr>
      <w:bookmarkStart w:id="245" w:name="_Toc400553964"/>
      <w:bookmarkStart w:id="246" w:name="_Toc410115145"/>
      <w:bookmarkStart w:id="247" w:name="_Toc3896757"/>
      <w:r>
        <w:rPr>
          <w:rFonts w:hint="eastAsia" w:ascii="仿宋" w:hAnsi="仿宋"/>
          <w:b/>
          <w:bCs/>
          <w:kern w:val="0"/>
        </w:rPr>
        <w:t>(一)风险管理子公司可以开展的试点业务范围</w:t>
      </w:r>
      <w:bookmarkEnd w:id="245"/>
      <w:bookmarkEnd w:id="246"/>
      <w:bookmarkEnd w:id="247"/>
    </w:p>
    <w:p>
      <w:pPr>
        <w:spacing w:line="360" w:lineRule="auto"/>
        <w:ind w:firstLine="480" w:firstLineChars="200"/>
        <w:rPr>
          <w:rFonts w:ascii="仿宋" w:hAnsi="仿宋"/>
        </w:rPr>
      </w:pPr>
      <w:r>
        <w:rPr>
          <w:rFonts w:hint="eastAsia" w:ascii="仿宋" w:hAnsi="仿宋"/>
        </w:rPr>
        <w:t>依据：第三条 风险管理公司可以开展以下试点业务：</w:t>
      </w:r>
    </w:p>
    <w:p>
      <w:pPr>
        <w:spacing w:line="360" w:lineRule="auto"/>
        <w:ind w:firstLine="480" w:firstLineChars="200"/>
        <w:rPr>
          <w:rFonts w:ascii="仿宋" w:hAnsi="仿宋"/>
        </w:rPr>
      </w:pPr>
      <w:r>
        <w:rPr>
          <w:rFonts w:hint="eastAsia" w:ascii="仿宋" w:hAnsi="仿宋"/>
        </w:rPr>
        <w:t>（一）基差贸易；</w:t>
      </w:r>
    </w:p>
    <w:p>
      <w:pPr>
        <w:spacing w:line="360" w:lineRule="auto"/>
        <w:ind w:firstLine="480" w:firstLineChars="200"/>
        <w:rPr>
          <w:rFonts w:ascii="仿宋" w:hAnsi="仿宋"/>
        </w:rPr>
      </w:pPr>
      <w:r>
        <w:rPr>
          <w:rFonts w:hint="eastAsia" w:ascii="仿宋" w:hAnsi="仿宋"/>
        </w:rPr>
        <w:t>（二）仓单服务；</w:t>
      </w:r>
    </w:p>
    <w:p>
      <w:pPr>
        <w:spacing w:line="360" w:lineRule="auto"/>
        <w:ind w:firstLine="480" w:firstLineChars="200"/>
        <w:rPr>
          <w:rFonts w:ascii="仿宋" w:hAnsi="仿宋"/>
        </w:rPr>
      </w:pPr>
      <w:r>
        <w:rPr>
          <w:rFonts w:hint="eastAsia" w:ascii="仿宋" w:hAnsi="仿宋"/>
        </w:rPr>
        <w:t>（三）合作套保；</w:t>
      </w:r>
    </w:p>
    <w:p>
      <w:pPr>
        <w:spacing w:line="360" w:lineRule="auto"/>
        <w:rPr>
          <w:rFonts w:ascii="仿宋" w:hAnsi="仿宋"/>
        </w:rPr>
      </w:pPr>
      <w:r>
        <w:rPr>
          <w:rFonts w:hint="eastAsia" w:ascii="仿宋" w:hAnsi="仿宋"/>
        </w:rPr>
        <w:t>　　（四）场外衍生品业务；</w:t>
      </w:r>
    </w:p>
    <w:p>
      <w:pPr>
        <w:spacing w:line="360" w:lineRule="auto"/>
        <w:ind w:firstLine="480" w:firstLineChars="200"/>
        <w:rPr>
          <w:rFonts w:ascii="仿宋" w:hAnsi="仿宋"/>
        </w:rPr>
      </w:pPr>
      <w:r>
        <w:rPr>
          <w:rFonts w:hint="eastAsia" w:ascii="仿宋" w:hAnsi="仿宋"/>
        </w:rPr>
        <w:t>（五）做市业务；</w:t>
      </w:r>
    </w:p>
    <w:p>
      <w:pPr>
        <w:spacing w:line="360" w:lineRule="auto"/>
        <w:ind w:firstLine="480" w:firstLineChars="200"/>
        <w:rPr>
          <w:rFonts w:ascii="仿宋" w:hAnsi="仿宋"/>
        </w:rPr>
      </w:pPr>
      <w:r>
        <w:rPr>
          <w:rFonts w:hint="eastAsia" w:ascii="仿宋" w:hAnsi="仿宋"/>
        </w:rPr>
        <w:t>（六）其他与风险管理服务相关的业务。</w:t>
      </w:r>
    </w:p>
    <w:p>
      <w:pPr>
        <w:spacing w:line="360" w:lineRule="auto"/>
        <w:ind w:firstLine="480" w:firstLineChars="200"/>
        <w:rPr>
          <w:rFonts w:ascii="仿宋" w:hAnsi="仿宋"/>
        </w:rPr>
      </w:pPr>
      <w:r>
        <w:rPr>
          <w:rFonts w:hint="eastAsia" w:ascii="仿宋" w:hAnsi="仿宋"/>
        </w:rPr>
        <w:t>风险管理公司开展试点业务，应当按照各项交易的业务实质归入上述基本类型，并对不同类型业务实施分类管理。</w:t>
      </w:r>
    </w:p>
    <w:p>
      <w:pPr>
        <w:keepNext/>
        <w:keepLines/>
        <w:spacing w:before="260" w:after="260" w:line="416" w:lineRule="auto"/>
        <w:outlineLvl w:val="2"/>
        <w:rPr>
          <w:rFonts w:ascii="仿宋" w:hAnsi="仿宋"/>
          <w:b/>
          <w:bCs/>
          <w:kern w:val="0"/>
        </w:rPr>
      </w:pPr>
      <w:bookmarkStart w:id="248" w:name="_Toc3896758"/>
      <w:r>
        <w:rPr>
          <w:rFonts w:hint="eastAsia" w:ascii="仿宋" w:hAnsi="仿宋"/>
          <w:b/>
          <w:bCs/>
          <w:kern w:val="0"/>
        </w:rPr>
        <w:t>（二）风险管理子公司备案要求</w:t>
      </w:r>
      <w:bookmarkEnd w:id="248"/>
    </w:p>
    <w:p>
      <w:pPr>
        <w:spacing w:line="360" w:lineRule="auto"/>
        <w:ind w:firstLine="480" w:firstLineChars="200"/>
        <w:rPr>
          <w:rFonts w:ascii="仿宋" w:hAnsi="仿宋"/>
        </w:rPr>
      </w:pPr>
      <w:r>
        <w:rPr>
          <w:rFonts w:hint="eastAsia" w:ascii="仿宋" w:hAnsi="仿宋"/>
        </w:rPr>
        <w:t>依据：第九条 期货公司备案风险管理公司应当符合以下条件：</w:t>
      </w:r>
    </w:p>
    <w:p>
      <w:pPr>
        <w:spacing w:line="360" w:lineRule="auto"/>
        <w:ind w:firstLine="480" w:firstLineChars="200"/>
        <w:rPr>
          <w:rFonts w:ascii="仿宋" w:hAnsi="仿宋"/>
        </w:rPr>
      </w:pPr>
      <w:r>
        <w:rPr>
          <w:rFonts w:hint="eastAsia" w:ascii="仿宋" w:hAnsi="仿宋"/>
        </w:rPr>
        <w:t>（一）备案时期货公司最近一期分类评级不低于B类BB级，净资本不低于人民币3亿元，；</w:t>
      </w:r>
    </w:p>
    <w:p>
      <w:pPr>
        <w:spacing w:line="360" w:lineRule="auto"/>
        <w:ind w:firstLine="480" w:firstLineChars="200"/>
        <w:rPr>
          <w:rFonts w:ascii="仿宋" w:hAnsi="仿宋"/>
        </w:rPr>
      </w:pPr>
      <w:r>
        <w:rPr>
          <w:rFonts w:hint="eastAsia" w:ascii="仿宋" w:hAnsi="仿宋"/>
        </w:rPr>
        <w:t>（二）最近1年各项风险监管指标持续符合规定标准且设立风险管理公司后各项风险监管指标符合规定；</w:t>
      </w:r>
    </w:p>
    <w:p>
      <w:pPr>
        <w:spacing w:line="360" w:lineRule="auto"/>
        <w:ind w:firstLine="480" w:firstLineChars="200"/>
        <w:rPr>
          <w:rFonts w:ascii="仿宋" w:hAnsi="仿宋"/>
        </w:rPr>
      </w:pPr>
      <w:r>
        <w:rPr>
          <w:rFonts w:hint="eastAsia" w:ascii="仿宋" w:hAnsi="仿宋"/>
        </w:rPr>
        <w:t>（三）公司治理健全，内部控制和风险管理制度完善；</w:t>
      </w:r>
    </w:p>
    <w:p>
      <w:pPr>
        <w:spacing w:line="360" w:lineRule="auto"/>
        <w:ind w:firstLine="480" w:firstLineChars="200"/>
        <w:rPr>
          <w:rFonts w:ascii="仿宋" w:hAnsi="仿宋"/>
        </w:rPr>
      </w:pPr>
      <w:r>
        <w:rPr>
          <w:rFonts w:hint="eastAsia" w:ascii="仿宋" w:hAnsi="仿宋"/>
        </w:rPr>
        <w:t>（四）具有完备的管理制度，能够对风险管理公司业务活动实施有效管理和风险隔离；</w:t>
      </w:r>
    </w:p>
    <w:p>
      <w:pPr>
        <w:spacing w:line="360" w:lineRule="auto"/>
        <w:ind w:firstLine="480" w:firstLineChars="200"/>
        <w:rPr>
          <w:rFonts w:ascii="仿宋" w:hAnsi="仿宋"/>
        </w:rPr>
      </w:pPr>
      <w:r>
        <w:rPr>
          <w:rFonts w:hint="eastAsia" w:ascii="仿宋" w:hAnsi="仿宋"/>
        </w:rPr>
        <w:t xml:space="preserve">（五）最近3年未被采取《期货交易管理条例》第五十五条第二款所列行政监管措施，未因重大违法违规行为受到行政处罚或者刑事处罚； </w:t>
      </w:r>
    </w:p>
    <w:p>
      <w:pPr>
        <w:spacing w:line="360" w:lineRule="auto"/>
        <w:ind w:firstLine="480" w:firstLineChars="200"/>
        <w:rPr>
          <w:rFonts w:ascii="仿宋" w:hAnsi="仿宋"/>
        </w:rPr>
      </w:pPr>
      <w:r>
        <w:rPr>
          <w:rFonts w:hint="eastAsia" w:ascii="仿宋" w:hAnsi="仿宋"/>
        </w:rPr>
        <w:t>（六）最近1年未因公司治理不健全、内部控制和风险管理制度不完善等原因被采取行政监管措施或正处于整改期间，未因涉嫌重大违法违规正在被有权机关立案调查或采取强制措施；</w:t>
      </w:r>
    </w:p>
    <w:p>
      <w:pPr>
        <w:spacing w:line="360" w:lineRule="auto"/>
        <w:ind w:firstLine="480" w:firstLineChars="200"/>
        <w:rPr>
          <w:rFonts w:ascii="仿宋" w:hAnsi="仿宋"/>
        </w:rPr>
      </w:pPr>
      <w:r>
        <w:rPr>
          <w:rFonts w:hint="eastAsia" w:ascii="仿宋" w:hAnsi="仿宋"/>
        </w:rPr>
        <w:t>（七）协会根据审慎原则规定的其他条件。</w:t>
      </w:r>
    </w:p>
    <w:p>
      <w:pPr>
        <w:spacing w:line="360" w:lineRule="auto"/>
        <w:ind w:firstLine="480" w:firstLineChars="200"/>
        <w:rPr>
          <w:rFonts w:ascii="仿宋" w:hAnsi="仿宋"/>
        </w:rPr>
      </w:pPr>
      <w:r>
        <w:rPr>
          <w:rFonts w:hint="eastAsia" w:ascii="仿宋" w:hAnsi="仿宋"/>
        </w:rPr>
        <w:t>第十条 风险管理公司备案开展风险管理服务业务应当符合以下条件：</w:t>
      </w:r>
    </w:p>
    <w:p>
      <w:pPr>
        <w:spacing w:line="360" w:lineRule="auto"/>
        <w:ind w:firstLine="480" w:firstLineChars="200"/>
        <w:rPr>
          <w:rFonts w:ascii="仿宋" w:hAnsi="仿宋"/>
        </w:rPr>
      </w:pPr>
      <w:r>
        <w:rPr>
          <w:rFonts w:hint="eastAsia" w:ascii="仿宋" w:hAnsi="仿宋"/>
        </w:rPr>
        <w:t>（一）期货公司分类评级不低于B类BB级；</w:t>
      </w:r>
    </w:p>
    <w:p>
      <w:pPr>
        <w:spacing w:line="360" w:lineRule="auto"/>
        <w:ind w:firstLine="480" w:firstLineChars="200"/>
        <w:rPr>
          <w:rFonts w:ascii="仿宋" w:hAnsi="仿宋"/>
        </w:rPr>
      </w:pPr>
      <w:r>
        <w:rPr>
          <w:rFonts w:hint="eastAsia" w:ascii="仿宋" w:hAnsi="仿宋"/>
        </w:rPr>
        <w:t>（二）具有良好的内部治理结构、清晰的决策与授权体系、完善的内部控制制度；</w:t>
      </w:r>
    </w:p>
    <w:p>
      <w:pPr>
        <w:spacing w:line="360" w:lineRule="auto"/>
        <w:ind w:firstLine="480" w:firstLineChars="200"/>
        <w:rPr>
          <w:rFonts w:ascii="仿宋" w:hAnsi="仿宋"/>
        </w:rPr>
      </w:pPr>
      <w:r>
        <w:rPr>
          <w:rFonts w:hint="eastAsia" w:ascii="仿宋" w:hAnsi="仿宋"/>
        </w:rPr>
        <w:t>（三）具备与试点业务相匹配的资本实力，实缴资本不得低于人民币1亿元；</w:t>
      </w:r>
    </w:p>
    <w:p>
      <w:pPr>
        <w:spacing w:line="360" w:lineRule="auto"/>
        <w:ind w:firstLine="480" w:firstLineChars="200"/>
        <w:rPr>
          <w:rFonts w:ascii="仿宋" w:hAnsi="仿宋"/>
        </w:rPr>
      </w:pPr>
      <w:r>
        <w:rPr>
          <w:rFonts w:hint="eastAsia" w:ascii="仿宋" w:hAnsi="仿宋"/>
        </w:rPr>
        <w:t>（四）具备与试点业务相匹配的营业场所、专业人员、技术系统和健全的合规管理与风险控制机制，不少于5名人员通过期货从业人员资格考试；</w:t>
      </w:r>
    </w:p>
    <w:p>
      <w:pPr>
        <w:spacing w:line="360" w:lineRule="auto"/>
        <w:ind w:firstLine="480" w:firstLineChars="200"/>
        <w:rPr>
          <w:rFonts w:ascii="仿宋" w:hAnsi="仿宋"/>
        </w:rPr>
      </w:pPr>
      <w:r>
        <w:rPr>
          <w:rFonts w:hint="eastAsia" w:ascii="仿宋" w:hAnsi="仿宋"/>
        </w:rPr>
        <w:t>（五）具有完善的客户权益保护措施。</w:t>
      </w:r>
    </w:p>
    <w:p>
      <w:pPr>
        <w:spacing w:line="360" w:lineRule="auto"/>
        <w:ind w:firstLine="480" w:firstLineChars="200"/>
        <w:rPr>
          <w:rFonts w:ascii="仿宋" w:hAnsi="仿宋"/>
        </w:rPr>
      </w:pPr>
      <w:r>
        <w:rPr>
          <w:rFonts w:hint="eastAsia" w:ascii="仿宋" w:hAnsi="仿宋"/>
        </w:rPr>
        <w:t>第十一条 风险管理公司备案开展本指引第三条第（四）项业务的，还应当符合以下条件：</w:t>
      </w:r>
    </w:p>
    <w:p>
      <w:pPr>
        <w:spacing w:line="360" w:lineRule="auto"/>
        <w:ind w:firstLine="480" w:firstLineChars="200"/>
        <w:rPr>
          <w:rFonts w:ascii="仿宋" w:hAnsi="仿宋"/>
        </w:rPr>
      </w:pPr>
      <w:r>
        <w:rPr>
          <w:rFonts w:hint="eastAsia" w:ascii="仿宋" w:hAnsi="仿宋"/>
        </w:rPr>
        <w:t>（一）期货公司分类评级不低于B类BBB级；</w:t>
      </w:r>
    </w:p>
    <w:p>
      <w:pPr>
        <w:spacing w:line="360" w:lineRule="auto"/>
        <w:ind w:firstLine="480" w:firstLineChars="200"/>
        <w:rPr>
          <w:rFonts w:ascii="仿宋" w:hAnsi="仿宋"/>
        </w:rPr>
      </w:pPr>
      <w:r>
        <w:rPr>
          <w:rFonts w:hint="eastAsia" w:ascii="仿宋" w:hAnsi="仿宋"/>
        </w:rPr>
        <w:t>（二）风险管理公司场外衍生品业务应当配备专职合规法务、交易、风控、结算等岗位，不同岗位人员不得互相兼职；</w:t>
      </w:r>
    </w:p>
    <w:p>
      <w:pPr>
        <w:spacing w:line="360" w:lineRule="auto"/>
        <w:ind w:firstLine="480" w:firstLineChars="200"/>
        <w:rPr>
          <w:rFonts w:ascii="仿宋" w:hAnsi="仿宋"/>
        </w:rPr>
      </w:pPr>
      <w:r>
        <w:rPr>
          <w:rFonts w:hint="eastAsia" w:ascii="仿宋" w:hAnsi="仿宋"/>
        </w:rPr>
        <w:t>（三）风险管理公司开展个股场外衍生品业务的，期货公司分类评级持续不低于A类AA级；风险管理公司实缴资本不低于人民币2亿元；风险管理公司开展场外衍生品业务时间达到3年以上（以公司向协会报送的月度报告数据为准）且具有自主对冲交易能力；场外衍生品业务负责人具有场外衍生品业务3年以上从业经历。</w:t>
      </w:r>
    </w:p>
    <w:p>
      <w:pPr>
        <w:spacing w:line="360" w:lineRule="auto"/>
        <w:ind w:firstLine="480" w:firstLineChars="200"/>
        <w:rPr>
          <w:rFonts w:ascii="仿宋" w:hAnsi="仿宋"/>
        </w:rPr>
      </w:pPr>
      <w:r>
        <w:rPr>
          <w:rFonts w:hint="eastAsia" w:ascii="仿宋" w:hAnsi="仿宋"/>
        </w:rPr>
        <w:t>第十二条 期货公司应当在风险管理公司完成工商登记后5个工作日内向协会提交以下备案材料：</w:t>
      </w:r>
    </w:p>
    <w:p>
      <w:pPr>
        <w:spacing w:line="360" w:lineRule="auto"/>
        <w:ind w:firstLine="480" w:firstLineChars="200"/>
        <w:rPr>
          <w:rFonts w:ascii="仿宋" w:hAnsi="仿宋"/>
        </w:rPr>
      </w:pPr>
      <w:r>
        <w:rPr>
          <w:rFonts w:hint="eastAsia" w:ascii="仿宋" w:hAnsi="仿宋"/>
        </w:rPr>
        <w:t>（一）备案报告；</w:t>
      </w:r>
    </w:p>
    <w:p>
      <w:pPr>
        <w:spacing w:line="360" w:lineRule="auto"/>
        <w:ind w:firstLine="480" w:firstLineChars="200"/>
        <w:rPr>
          <w:rFonts w:ascii="仿宋" w:hAnsi="仿宋"/>
        </w:rPr>
      </w:pPr>
      <w:r>
        <w:rPr>
          <w:rFonts w:hint="eastAsia" w:ascii="仿宋" w:hAnsi="仿宋"/>
        </w:rPr>
        <w:t>（二）期货公司股东会（股东大会）或者董事会同意设立风险管理公司开展业务试点的决议（按照公司章程规定出具）；</w:t>
      </w:r>
    </w:p>
    <w:p>
      <w:pPr>
        <w:spacing w:line="360" w:lineRule="auto"/>
        <w:ind w:firstLine="480" w:firstLineChars="200"/>
        <w:rPr>
          <w:rFonts w:ascii="仿宋" w:hAnsi="仿宋"/>
        </w:rPr>
      </w:pPr>
      <w:r>
        <w:rPr>
          <w:rFonts w:hint="eastAsia" w:ascii="仿宋" w:hAnsi="仿宋"/>
        </w:rPr>
        <w:t>（三）期货公司关于风险管理公司的管理制度；</w:t>
      </w:r>
    </w:p>
    <w:p>
      <w:pPr>
        <w:spacing w:line="360" w:lineRule="auto"/>
        <w:ind w:firstLine="480" w:firstLineChars="200"/>
        <w:rPr>
          <w:rFonts w:ascii="仿宋" w:hAnsi="仿宋"/>
        </w:rPr>
      </w:pPr>
      <w:r>
        <w:rPr>
          <w:rFonts w:hint="eastAsia" w:ascii="仿宋" w:hAnsi="仿宋"/>
        </w:rPr>
        <w:t>（四）期货公司最近1年《风险监管指标汇总表（SR-1表）》；</w:t>
      </w:r>
    </w:p>
    <w:p>
      <w:pPr>
        <w:spacing w:line="360" w:lineRule="auto"/>
        <w:ind w:firstLine="480" w:firstLineChars="200"/>
        <w:rPr>
          <w:rFonts w:ascii="仿宋" w:hAnsi="仿宋"/>
        </w:rPr>
      </w:pPr>
      <w:r>
        <w:rPr>
          <w:rFonts w:hint="eastAsia" w:ascii="仿宋" w:hAnsi="仿宋"/>
        </w:rPr>
        <w:t>（五）协会要求提供的其他材料。</w:t>
      </w:r>
    </w:p>
    <w:p>
      <w:pPr>
        <w:spacing w:line="360" w:lineRule="auto"/>
        <w:ind w:firstLine="480" w:firstLineChars="200"/>
        <w:rPr>
          <w:rFonts w:ascii="仿宋" w:hAnsi="仿宋"/>
        </w:rPr>
      </w:pPr>
      <w:r>
        <w:rPr>
          <w:rFonts w:hint="eastAsia" w:ascii="仿宋" w:hAnsi="仿宋"/>
        </w:rPr>
        <w:t>上述第（三）项发生变更的，期货公司应当在5个工作日内向协会报告变更情况。</w:t>
      </w:r>
    </w:p>
    <w:p>
      <w:pPr>
        <w:spacing w:line="360" w:lineRule="auto"/>
        <w:ind w:firstLine="480" w:firstLineChars="200"/>
        <w:rPr>
          <w:rFonts w:ascii="仿宋" w:hAnsi="仿宋"/>
        </w:rPr>
      </w:pPr>
      <w:r>
        <w:rPr>
          <w:rFonts w:hint="eastAsia" w:ascii="仿宋" w:hAnsi="仿宋"/>
        </w:rPr>
        <w:t>第十三条 风险管理公司应当在工商登记完成后5个工作日内向协会提交以下备案材料：</w:t>
      </w:r>
    </w:p>
    <w:p>
      <w:pPr>
        <w:spacing w:line="360" w:lineRule="auto"/>
        <w:ind w:firstLine="480" w:firstLineChars="200"/>
        <w:rPr>
          <w:rFonts w:ascii="仿宋" w:hAnsi="仿宋"/>
        </w:rPr>
      </w:pPr>
      <w:r>
        <w:rPr>
          <w:rFonts w:hint="eastAsia" w:ascii="仿宋" w:hAnsi="仿宋"/>
        </w:rPr>
        <w:t>（一）风险管理公司自律承诺书；</w:t>
      </w:r>
    </w:p>
    <w:p>
      <w:pPr>
        <w:spacing w:line="360" w:lineRule="auto"/>
        <w:ind w:firstLine="480" w:firstLineChars="200"/>
        <w:rPr>
          <w:rFonts w:ascii="仿宋" w:hAnsi="仿宋"/>
        </w:rPr>
      </w:pPr>
      <w:r>
        <w:rPr>
          <w:rFonts w:hint="eastAsia" w:ascii="仿宋" w:hAnsi="仿宋"/>
        </w:rPr>
        <w:t>（二）风险管理公司基本信息，包括公司名称、住所地、注册资本、法定代表人、经营范围等；</w:t>
      </w:r>
    </w:p>
    <w:p>
      <w:pPr>
        <w:spacing w:line="360" w:lineRule="auto"/>
        <w:ind w:firstLine="480" w:firstLineChars="200"/>
        <w:rPr>
          <w:rFonts w:ascii="仿宋" w:hAnsi="仿宋"/>
        </w:rPr>
      </w:pPr>
      <w:r>
        <w:rPr>
          <w:rFonts w:hint="eastAsia" w:ascii="仿宋" w:hAnsi="仿宋"/>
        </w:rPr>
        <w:t>（三）风险管理公司股权结构图，包括持有公司5%（含）以上股权的出资人名册及其出资额、出资方式和出资比例说明，以及出资人之间的关联关系说明;</w:t>
      </w:r>
    </w:p>
    <w:p>
      <w:pPr>
        <w:spacing w:line="360" w:lineRule="auto"/>
        <w:ind w:firstLine="480" w:firstLineChars="200"/>
        <w:rPr>
          <w:rFonts w:ascii="仿宋" w:hAnsi="仿宋"/>
        </w:rPr>
      </w:pPr>
      <w:r>
        <w:rPr>
          <w:rFonts w:hint="eastAsia" w:ascii="仿宋" w:hAnsi="仿宋"/>
        </w:rPr>
        <w:t>（四）风险管理公司人员信息，包括董事、监事、高级管理人员的基本信息；</w:t>
      </w:r>
    </w:p>
    <w:p>
      <w:pPr>
        <w:spacing w:line="360" w:lineRule="auto"/>
        <w:ind w:firstLine="480" w:firstLineChars="200"/>
        <w:rPr>
          <w:rFonts w:ascii="仿宋" w:hAnsi="仿宋"/>
        </w:rPr>
      </w:pPr>
      <w:r>
        <w:rPr>
          <w:rFonts w:hint="eastAsia" w:ascii="仿宋" w:hAnsi="仿宋"/>
        </w:rPr>
        <w:t>（五）风险管理公司章程及基本管理制度；</w:t>
      </w:r>
    </w:p>
    <w:p>
      <w:pPr>
        <w:spacing w:line="360" w:lineRule="auto"/>
        <w:ind w:firstLine="480" w:firstLineChars="200"/>
        <w:rPr>
          <w:rFonts w:ascii="仿宋" w:hAnsi="仿宋"/>
        </w:rPr>
      </w:pPr>
      <w:r>
        <w:rPr>
          <w:rFonts w:hint="eastAsia" w:ascii="仿宋" w:hAnsi="仿宋"/>
        </w:rPr>
        <w:t>（六）协会要求提供的其他材料。</w:t>
      </w:r>
    </w:p>
    <w:p>
      <w:pPr>
        <w:spacing w:line="360" w:lineRule="auto"/>
        <w:ind w:firstLine="480" w:firstLineChars="200"/>
        <w:rPr>
          <w:rFonts w:ascii="仿宋" w:hAnsi="仿宋"/>
        </w:rPr>
      </w:pPr>
      <w:r>
        <w:rPr>
          <w:rFonts w:hint="eastAsia" w:ascii="仿宋" w:hAnsi="仿宋"/>
        </w:rPr>
        <w:t>上述第（二）至（五）项发生变更的，风险管理公司应当在5个工作日内向协会报告变更情况，涉及工商登记变更的，以完成工商登记变更的时间为准。</w:t>
      </w:r>
    </w:p>
    <w:p>
      <w:pPr>
        <w:spacing w:line="360" w:lineRule="auto"/>
        <w:ind w:firstLine="480" w:firstLineChars="200"/>
        <w:rPr>
          <w:rFonts w:ascii="仿宋" w:hAnsi="仿宋"/>
        </w:rPr>
      </w:pPr>
      <w:r>
        <w:rPr>
          <w:rFonts w:hint="eastAsia" w:ascii="仿宋" w:hAnsi="仿宋"/>
        </w:rPr>
        <w:t>第十四条 风险管理公司开展本指引第三条规定业务的，应当于股东会（股东大会）或者董事会作出相关决议之日起5个工作日内向协会提交以下备案材料，风险管理公司提交业务备案材料前应当完成公司设立备案：</w:t>
      </w:r>
    </w:p>
    <w:p>
      <w:pPr>
        <w:spacing w:line="360" w:lineRule="auto"/>
        <w:ind w:firstLine="480" w:firstLineChars="200"/>
        <w:rPr>
          <w:rFonts w:ascii="仿宋" w:hAnsi="仿宋"/>
        </w:rPr>
      </w:pPr>
      <w:r>
        <w:rPr>
          <w:rFonts w:hint="eastAsia" w:ascii="仿宋" w:hAnsi="仿宋"/>
        </w:rPr>
        <w:t>（一）备案报告；</w:t>
      </w:r>
    </w:p>
    <w:p>
      <w:pPr>
        <w:spacing w:line="360" w:lineRule="auto"/>
        <w:ind w:firstLine="480" w:firstLineChars="200"/>
        <w:rPr>
          <w:rFonts w:ascii="仿宋" w:hAnsi="仿宋"/>
        </w:rPr>
      </w:pPr>
      <w:r>
        <w:rPr>
          <w:rFonts w:hint="eastAsia" w:ascii="仿宋" w:hAnsi="仿宋"/>
        </w:rPr>
        <w:t>（二）风险管理公司股东会（股东大会）或者董事会同意风险管理公司开展该项业务的决议（按照公司章程规定出具）；</w:t>
      </w:r>
    </w:p>
    <w:p>
      <w:pPr>
        <w:spacing w:line="360" w:lineRule="auto"/>
        <w:ind w:firstLine="480" w:firstLineChars="200"/>
        <w:rPr>
          <w:rFonts w:ascii="仿宋" w:hAnsi="仿宋"/>
        </w:rPr>
      </w:pPr>
      <w:r>
        <w:rPr>
          <w:rFonts w:hint="eastAsia" w:ascii="仿宋" w:hAnsi="仿宋"/>
        </w:rPr>
        <w:t>（三）业务试点方案，包括但不限于该项业务的目标市场和目标客户定位、主要业务模式、业务发展规划、人员和技术系统配备、风险控制措施、利益冲突防范措施等内容；</w:t>
      </w:r>
    </w:p>
    <w:p>
      <w:pPr>
        <w:spacing w:line="360" w:lineRule="auto"/>
        <w:ind w:firstLine="480" w:firstLineChars="200"/>
        <w:rPr>
          <w:rFonts w:ascii="仿宋" w:hAnsi="仿宋"/>
        </w:rPr>
      </w:pPr>
      <w:r>
        <w:rPr>
          <w:rFonts w:hint="eastAsia" w:ascii="仿宋" w:hAnsi="仿宋"/>
        </w:rPr>
        <w:t>（四）该项业务的管理制度；</w:t>
      </w:r>
    </w:p>
    <w:p>
      <w:pPr>
        <w:spacing w:line="360" w:lineRule="auto"/>
        <w:ind w:firstLine="480" w:firstLineChars="200"/>
        <w:rPr>
          <w:rFonts w:ascii="仿宋" w:hAnsi="仿宋"/>
        </w:rPr>
      </w:pPr>
      <w:r>
        <w:rPr>
          <w:rFonts w:hint="eastAsia" w:ascii="仿宋" w:hAnsi="仿宋"/>
        </w:rPr>
        <w:t>（五）协会要求的其他材料。</w:t>
      </w:r>
    </w:p>
    <w:p>
      <w:pPr>
        <w:spacing w:line="360" w:lineRule="auto"/>
        <w:ind w:firstLine="480" w:firstLineChars="200"/>
        <w:rPr>
          <w:rFonts w:ascii="仿宋" w:hAnsi="仿宋"/>
        </w:rPr>
      </w:pPr>
      <w:r>
        <w:rPr>
          <w:rFonts w:hint="eastAsia" w:ascii="仿宋" w:hAnsi="仿宋"/>
        </w:rPr>
        <w:t>风险管理公司自取得予以业务备案通知3个月内，仍未开展相关业务的，应当重新申请该项业务备案。</w:t>
      </w:r>
    </w:p>
    <w:p>
      <w:pPr>
        <w:spacing w:line="360" w:lineRule="auto"/>
        <w:ind w:firstLine="480" w:firstLineChars="200"/>
        <w:rPr>
          <w:rFonts w:ascii="仿宋" w:hAnsi="仿宋"/>
        </w:rPr>
      </w:pPr>
      <w:r>
        <w:rPr>
          <w:rFonts w:hint="eastAsia" w:ascii="仿宋" w:hAnsi="仿宋"/>
        </w:rPr>
        <w:t>第十五条 风险管理公司终止已备案业务的，应当于股东会（股东大会）或者董事会作出相关决议之日起5个工作日内向协会提交以下材料：</w:t>
      </w:r>
    </w:p>
    <w:p>
      <w:pPr>
        <w:spacing w:line="360" w:lineRule="auto"/>
        <w:ind w:firstLine="480" w:firstLineChars="200"/>
        <w:rPr>
          <w:rFonts w:ascii="仿宋" w:hAnsi="仿宋"/>
        </w:rPr>
      </w:pPr>
      <w:r>
        <w:rPr>
          <w:rFonts w:hint="eastAsia" w:ascii="仿宋" w:hAnsi="仿宋"/>
        </w:rPr>
        <w:t>（一）业务终止情况报告；</w:t>
      </w:r>
    </w:p>
    <w:p>
      <w:pPr>
        <w:spacing w:line="360" w:lineRule="auto"/>
        <w:ind w:firstLine="480" w:firstLineChars="200"/>
        <w:rPr>
          <w:rFonts w:ascii="仿宋" w:hAnsi="仿宋"/>
        </w:rPr>
      </w:pPr>
      <w:r>
        <w:rPr>
          <w:rFonts w:hint="eastAsia" w:ascii="仿宋" w:hAnsi="仿宋"/>
        </w:rPr>
        <w:t>（二）风险管理公司股东会（股东大会）或者董事会同意风险管理公司终止该项业务的决议（按照公司章程规定出具）；</w:t>
      </w:r>
    </w:p>
    <w:p>
      <w:pPr>
        <w:spacing w:line="360" w:lineRule="auto"/>
        <w:ind w:firstLine="480" w:firstLineChars="200"/>
        <w:rPr>
          <w:rFonts w:ascii="仿宋" w:hAnsi="仿宋"/>
        </w:rPr>
      </w:pPr>
      <w:r>
        <w:rPr>
          <w:rFonts w:hint="eastAsia" w:ascii="仿宋" w:hAnsi="仿宋"/>
        </w:rPr>
        <w:t>（三）存续期业务安排；</w:t>
      </w:r>
    </w:p>
    <w:p>
      <w:pPr>
        <w:spacing w:line="360" w:lineRule="auto"/>
        <w:ind w:firstLine="480" w:firstLineChars="200"/>
        <w:rPr>
          <w:rFonts w:ascii="仿宋" w:hAnsi="仿宋"/>
        </w:rPr>
      </w:pPr>
      <w:r>
        <w:rPr>
          <w:rFonts w:hint="eastAsia" w:ascii="仿宋" w:hAnsi="仿宋"/>
        </w:rPr>
        <w:t>（四）相关管理制度废止、变更情况；</w:t>
      </w:r>
    </w:p>
    <w:p>
      <w:pPr>
        <w:spacing w:line="360" w:lineRule="auto"/>
        <w:ind w:firstLine="480" w:firstLineChars="200"/>
        <w:rPr>
          <w:rFonts w:ascii="仿宋" w:hAnsi="仿宋"/>
        </w:rPr>
      </w:pPr>
      <w:r>
        <w:rPr>
          <w:rFonts w:hint="eastAsia" w:ascii="仿宋" w:hAnsi="仿宋"/>
        </w:rPr>
        <w:t>（五）协会要求的其他材料。</w:t>
      </w:r>
    </w:p>
    <w:p>
      <w:pPr>
        <w:spacing w:line="360" w:lineRule="auto"/>
        <w:ind w:firstLine="480" w:firstLineChars="200"/>
        <w:rPr>
          <w:rFonts w:ascii="仿宋" w:hAnsi="仿宋"/>
        </w:rPr>
      </w:pPr>
      <w:r>
        <w:rPr>
          <w:rFonts w:hint="eastAsia" w:ascii="仿宋" w:hAnsi="仿宋"/>
        </w:rPr>
        <w:t>第十六条 协会对期货公司及风险管理公司备案材料的完备性和合规性进行审查。</w:t>
      </w:r>
    </w:p>
    <w:p>
      <w:pPr>
        <w:spacing w:line="360" w:lineRule="auto"/>
        <w:ind w:firstLine="480" w:firstLineChars="200"/>
        <w:rPr>
          <w:rFonts w:ascii="仿宋" w:hAnsi="仿宋"/>
        </w:rPr>
      </w:pPr>
      <w:r>
        <w:rPr>
          <w:rFonts w:hint="eastAsia" w:ascii="仿宋" w:hAnsi="仿宋"/>
        </w:rPr>
        <w:t>备案符合条件且材料完备、符合规定的，协会自受理材料之日起15个工作日内予以备案。材料不完备或不符合规定的，协会自受理之日起15个工作日内，一次性告知期货公司或风险管理公司需要补正的全部内容。</w:t>
      </w:r>
    </w:p>
    <w:p>
      <w:pPr>
        <w:spacing w:line="360" w:lineRule="auto"/>
        <w:ind w:firstLine="480" w:firstLineChars="200"/>
        <w:rPr>
          <w:rFonts w:ascii="仿宋" w:hAnsi="仿宋"/>
        </w:rPr>
      </w:pPr>
      <w:r>
        <w:rPr>
          <w:rFonts w:hint="eastAsia" w:ascii="仿宋" w:hAnsi="仿宋"/>
        </w:rPr>
        <w:t>经补正符合条件且材料完备、符合规定的，协会自受理补正材料之日起15个工作日内予以备案；仍不完备或不符合规定的，协会自受理补正材料之日起15个工作日内向期货公司或风险管理公司出具终止备案通知，3个月内不再受理该公司相同备案申请。</w:t>
      </w:r>
    </w:p>
    <w:p>
      <w:pPr>
        <w:spacing w:line="360" w:lineRule="auto"/>
        <w:ind w:firstLine="480" w:firstLineChars="200"/>
        <w:rPr>
          <w:rFonts w:ascii="仿宋" w:hAnsi="仿宋"/>
        </w:rPr>
      </w:pPr>
      <w:r>
        <w:rPr>
          <w:rFonts w:hint="eastAsia" w:ascii="仿宋" w:hAnsi="仿宋"/>
        </w:rPr>
        <w:t>第十七条 已设立风险管理公司的期货公司分类评级连续两年未达到本指引规定相应级别或最新一期分类评级为D类及以下的，应当自收到最新一期评级结果之日起，对风险管理公司相应试点业务规模控制，不得新增业务，存续业务到期终止。</w:t>
      </w:r>
    </w:p>
    <w:p>
      <w:pPr>
        <w:spacing w:line="360" w:lineRule="auto"/>
        <w:ind w:firstLine="480" w:firstLineChars="200"/>
        <w:rPr>
          <w:rFonts w:ascii="仿宋" w:hAnsi="仿宋"/>
        </w:rPr>
      </w:pPr>
      <w:r>
        <w:rPr>
          <w:rFonts w:hint="eastAsia" w:ascii="仿宋" w:hAnsi="仿宋"/>
        </w:rPr>
        <w:t>期货公司分类评级恢复至本指引规定相应级别的，可以自收到分类评级之日起对风险管理公司解除业务规模控制。</w:t>
      </w:r>
    </w:p>
    <w:p>
      <w:pPr>
        <w:spacing w:line="360" w:lineRule="auto"/>
        <w:ind w:firstLine="480" w:firstLineChars="200"/>
        <w:rPr>
          <w:rFonts w:ascii="仿宋" w:hAnsi="仿宋"/>
        </w:rPr>
      </w:pPr>
      <w:r>
        <w:rPr>
          <w:rFonts w:hint="eastAsia" w:ascii="仿宋" w:hAnsi="仿宋"/>
        </w:rPr>
        <w:t>开展个股场外衍生品业务的风险管理公司，其期货公司分类评级不符合本指引规定相应级别的，应当自收到最新一期评级结果之日起，对风险管理公司相应业务规模控制，不得新增业务，存续业务到期终止。</w:t>
      </w:r>
    </w:p>
    <w:p>
      <w:pPr>
        <w:keepNext/>
        <w:keepLines/>
        <w:spacing w:before="260" w:after="260" w:line="416" w:lineRule="auto"/>
        <w:outlineLvl w:val="2"/>
        <w:rPr>
          <w:rFonts w:ascii="仿宋" w:hAnsi="仿宋"/>
          <w:b/>
          <w:bCs/>
          <w:kern w:val="0"/>
        </w:rPr>
      </w:pPr>
      <w:bookmarkStart w:id="249" w:name="_Toc3896759"/>
      <w:r>
        <w:rPr>
          <w:rFonts w:hint="eastAsia" w:ascii="仿宋" w:hAnsi="仿宋"/>
          <w:b/>
          <w:bCs/>
          <w:kern w:val="0"/>
        </w:rPr>
        <w:t>（三）风险管理公司业务规范</w:t>
      </w:r>
      <w:bookmarkEnd w:id="249"/>
    </w:p>
    <w:p>
      <w:pPr>
        <w:spacing w:line="360" w:lineRule="auto"/>
        <w:ind w:firstLine="480" w:firstLineChars="200"/>
        <w:rPr>
          <w:rFonts w:ascii="仿宋" w:hAnsi="仿宋"/>
        </w:rPr>
      </w:pPr>
      <w:r>
        <w:rPr>
          <w:rFonts w:hint="eastAsia" w:ascii="仿宋" w:hAnsi="仿宋"/>
        </w:rPr>
        <w:t>依据：第十八条 风险管理公司应当建立客户资信评估制度，对客户的资信情况进行调查、审核和评估。</w:t>
      </w:r>
    </w:p>
    <w:p>
      <w:pPr>
        <w:spacing w:line="360" w:lineRule="auto"/>
        <w:ind w:firstLine="480" w:firstLineChars="200"/>
        <w:rPr>
          <w:rFonts w:ascii="仿宋" w:hAnsi="仿宋"/>
        </w:rPr>
      </w:pPr>
      <w:r>
        <w:rPr>
          <w:rFonts w:hint="eastAsia" w:ascii="仿宋" w:hAnsi="仿宋"/>
        </w:rPr>
        <w:t>第十九条 风险管理公司向客户提供证券期货相关产品或服务的，应当建立投资者适当性管理制度，对不同类别的客户和不同等级的服务、产品实行差异化的适当性管理，将适当的服务和产品提供给适当的客户，向客户充分揭示业务和产品风险。</w:t>
      </w:r>
    </w:p>
    <w:p>
      <w:pPr>
        <w:spacing w:line="360" w:lineRule="auto"/>
        <w:ind w:firstLine="480" w:firstLineChars="200"/>
        <w:rPr>
          <w:rFonts w:ascii="仿宋" w:hAnsi="仿宋"/>
        </w:rPr>
      </w:pPr>
      <w:r>
        <w:rPr>
          <w:rFonts w:hint="eastAsia" w:ascii="仿宋" w:hAnsi="仿宋"/>
        </w:rPr>
        <w:t xml:space="preserve">第二十条 风险管理公司在与其期货公司投资者分类标准一致的情况下，可使用其母公司对同一投资者做出的投资者分类结果，但应当保存该投资者的全部信息备查。 </w:t>
      </w:r>
    </w:p>
    <w:p>
      <w:pPr>
        <w:spacing w:line="360" w:lineRule="auto"/>
        <w:ind w:firstLine="480" w:firstLineChars="200"/>
        <w:rPr>
          <w:rFonts w:ascii="仿宋" w:hAnsi="仿宋"/>
        </w:rPr>
      </w:pPr>
      <w:r>
        <w:rPr>
          <w:rFonts w:hint="eastAsia" w:ascii="仿宋" w:hAnsi="仿宋"/>
        </w:rPr>
        <w:t>风险管理公司使用其母公司对同一投资者的适当性分类结果，不视为免除其应当承担的投资者适当性管理义务。风险管理公司应当对其提供的产品和服务进行分级，并做好适当性匹配与管理。</w:t>
      </w:r>
    </w:p>
    <w:p>
      <w:pPr>
        <w:spacing w:line="360" w:lineRule="auto"/>
        <w:ind w:firstLine="480" w:firstLineChars="200"/>
        <w:rPr>
          <w:rFonts w:ascii="仿宋" w:hAnsi="仿宋"/>
        </w:rPr>
      </w:pPr>
      <w:r>
        <w:rPr>
          <w:rFonts w:hint="eastAsia" w:ascii="仿宋" w:hAnsi="仿宋"/>
        </w:rPr>
        <w:t>第二十一条 风险管理公司应当根据业务需要开立期货账户、单个或多个特殊单位账户，并向中国期货市场监控中心和交易所申请专门的编码进行交易。</w:t>
      </w:r>
    </w:p>
    <w:p>
      <w:pPr>
        <w:spacing w:line="360" w:lineRule="auto"/>
        <w:ind w:firstLine="480" w:firstLineChars="200"/>
        <w:rPr>
          <w:rFonts w:ascii="仿宋" w:hAnsi="仿宋"/>
        </w:rPr>
      </w:pPr>
      <w:r>
        <w:rPr>
          <w:rFonts w:hint="eastAsia" w:ascii="仿宋" w:hAnsi="仿宋"/>
        </w:rPr>
        <w:t>第二十二条 风险管理公司及其工作人员应当对业务活动中获得的客户信息以及非公开信息严格保密，但法律法规另有规定、有权机关依法调查取证或者协会按照规定进行自律管理的除外。</w:t>
      </w:r>
    </w:p>
    <w:p>
      <w:pPr>
        <w:spacing w:line="360" w:lineRule="auto"/>
        <w:ind w:firstLine="480" w:firstLineChars="200"/>
        <w:rPr>
          <w:rFonts w:ascii="仿宋" w:hAnsi="仿宋"/>
        </w:rPr>
      </w:pPr>
      <w:r>
        <w:rPr>
          <w:rFonts w:hint="eastAsia" w:ascii="仿宋" w:hAnsi="仿宋"/>
        </w:rPr>
        <w:t>第二十三条 风险管理公司不得从事或变相从事依法应由期货公司经营的期货经纪、期货投资咨询、资产管理等业务，工商营业执照（含经营范围）不得出现上述内容。</w:t>
      </w:r>
    </w:p>
    <w:p>
      <w:pPr>
        <w:spacing w:line="360" w:lineRule="auto"/>
        <w:ind w:firstLine="480" w:firstLineChars="200"/>
        <w:rPr>
          <w:rFonts w:ascii="仿宋" w:hAnsi="仿宋"/>
        </w:rPr>
      </w:pPr>
      <w:r>
        <w:rPr>
          <w:rFonts w:hint="eastAsia" w:ascii="仿宋" w:hAnsi="仿宋"/>
        </w:rPr>
        <w:t>第二十四条 风险管理公司及其工作人员开展业务过程中不得有以下行为：</w:t>
      </w:r>
    </w:p>
    <w:p>
      <w:pPr>
        <w:spacing w:line="360" w:lineRule="auto"/>
        <w:ind w:firstLine="480" w:firstLineChars="200"/>
        <w:rPr>
          <w:rFonts w:ascii="仿宋" w:hAnsi="仿宋"/>
        </w:rPr>
      </w:pPr>
      <w:r>
        <w:rPr>
          <w:rFonts w:hint="eastAsia" w:ascii="仿宋" w:hAnsi="仿宋"/>
        </w:rPr>
        <w:t>（一）误导或欺诈客户；</w:t>
      </w:r>
    </w:p>
    <w:p>
      <w:pPr>
        <w:spacing w:line="360" w:lineRule="auto"/>
        <w:ind w:firstLine="480" w:firstLineChars="200"/>
        <w:rPr>
          <w:rFonts w:ascii="仿宋" w:hAnsi="仿宋"/>
        </w:rPr>
      </w:pPr>
      <w:r>
        <w:rPr>
          <w:rFonts w:hint="eastAsia" w:ascii="仿宋" w:hAnsi="仿宋"/>
        </w:rPr>
        <w:t>（二）侵占、挪用客户资产；</w:t>
      </w:r>
    </w:p>
    <w:p>
      <w:pPr>
        <w:spacing w:line="360" w:lineRule="auto"/>
        <w:ind w:firstLine="480" w:firstLineChars="200"/>
        <w:rPr>
          <w:rFonts w:ascii="仿宋" w:hAnsi="仿宋"/>
        </w:rPr>
      </w:pPr>
      <w:r>
        <w:rPr>
          <w:rFonts w:hint="eastAsia" w:ascii="仿宋" w:hAnsi="仿宋"/>
        </w:rPr>
        <w:t>（三）泄漏因职务便利获取的未公开信息，或利用该信息为本人或者他人牟取不正当利益；</w:t>
      </w:r>
    </w:p>
    <w:p>
      <w:pPr>
        <w:spacing w:line="360" w:lineRule="auto"/>
        <w:ind w:firstLine="480" w:firstLineChars="200"/>
        <w:rPr>
          <w:rFonts w:ascii="仿宋" w:hAnsi="仿宋"/>
        </w:rPr>
      </w:pPr>
      <w:r>
        <w:rPr>
          <w:rFonts w:hint="eastAsia" w:ascii="仿宋" w:hAnsi="仿宋"/>
        </w:rPr>
        <w:t>（四）与关联公司之间、与客户之间、在服务的不同客户之间进行利益输送或未公平对待客户；</w:t>
      </w:r>
    </w:p>
    <w:p>
      <w:pPr>
        <w:spacing w:line="360" w:lineRule="auto"/>
        <w:ind w:firstLine="480" w:firstLineChars="200"/>
        <w:rPr>
          <w:rFonts w:ascii="仿宋" w:hAnsi="仿宋"/>
        </w:rPr>
      </w:pPr>
      <w:r>
        <w:rPr>
          <w:rFonts w:hint="eastAsia" w:ascii="仿宋" w:hAnsi="仿宋"/>
        </w:rPr>
        <w:t>（五）从事内幕交易、操纵交易价格及其他不正当交易活动；</w:t>
      </w:r>
    </w:p>
    <w:p>
      <w:pPr>
        <w:spacing w:line="360" w:lineRule="auto"/>
        <w:ind w:firstLine="480" w:firstLineChars="200"/>
        <w:rPr>
          <w:rFonts w:ascii="仿宋" w:hAnsi="仿宋"/>
        </w:rPr>
      </w:pPr>
      <w:r>
        <w:rPr>
          <w:rFonts w:hint="eastAsia" w:ascii="仿宋" w:hAnsi="仿宋"/>
        </w:rPr>
        <w:t>（六）隐匿、伪造、篡改或者毁损交易信息；</w:t>
      </w:r>
    </w:p>
    <w:p>
      <w:pPr>
        <w:spacing w:line="360" w:lineRule="auto"/>
        <w:ind w:firstLine="480" w:firstLineChars="200"/>
        <w:rPr>
          <w:rFonts w:ascii="仿宋" w:hAnsi="仿宋"/>
        </w:rPr>
      </w:pPr>
      <w:r>
        <w:rPr>
          <w:rFonts w:hint="eastAsia" w:ascii="仿宋" w:hAnsi="仿宋"/>
        </w:rPr>
        <w:t>（七）违反账户实名制要求，使用他人证券、期货账户，或将自有证券、期货账户出借或授权给他人使用；</w:t>
      </w:r>
    </w:p>
    <w:p>
      <w:pPr>
        <w:spacing w:line="360" w:lineRule="auto"/>
        <w:ind w:firstLine="480" w:firstLineChars="200"/>
        <w:rPr>
          <w:rFonts w:ascii="仿宋" w:hAnsi="仿宋"/>
        </w:rPr>
      </w:pPr>
      <w:r>
        <w:rPr>
          <w:rFonts w:hint="eastAsia" w:ascii="仿宋" w:hAnsi="仿宋"/>
        </w:rPr>
        <w:t>（八）法律、行政法规以及中国证监会规定和自律管理规则禁止的其他行为。</w:t>
      </w:r>
    </w:p>
    <w:p>
      <w:pPr>
        <w:spacing w:line="360" w:lineRule="auto"/>
        <w:ind w:firstLine="480" w:firstLineChars="200"/>
        <w:rPr>
          <w:rFonts w:ascii="仿宋" w:hAnsi="仿宋"/>
        </w:rPr>
      </w:pPr>
      <w:r>
        <w:rPr>
          <w:rFonts w:hint="eastAsia" w:ascii="仿宋" w:hAnsi="仿宋"/>
        </w:rPr>
        <w:t>第二十五条 风险管理公司开展合作套保业务的保值标的须与客户现货生产经营相关，且使用的套期工具公允价值或现金流量变动预期能够抵销被套期项目全部或部分公允价值或现金流量变动，与客户协议约定合作套保资金的管理和使用，不得存在以下行为：</w:t>
      </w:r>
    </w:p>
    <w:p>
      <w:pPr>
        <w:spacing w:line="360" w:lineRule="auto"/>
        <w:ind w:firstLine="480" w:firstLineChars="200"/>
        <w:rPr>
          <w:rFonts w:ascii="仿宋" w:hAnsi="仿宋"/>
        </w:rPr>
      </w:pPr>
      <w:r>
        <w:rPr>
          <w:rFonts w:hint="eastAsia" w:ascii="仿宋" w:hAnsi="仿宋"/>
        </w:rPr>
        <w:t>（一）与金融机构及其资产管理产品、私募基金管理人及其产品或自然人签订业务合同或开展合作套保业务；</w:t>
      </w:r>
    </w:p>
    <w:p>
      <w:pPr>
        <w:spacing w:line="360" w:lineRule="auto"/>
        <w:ind w:firstLine="480" w:firstLineChars="200"/>
        <w:rPr>
          <w:rFonts w:ascii="仿宋" w:hAnsi="仿宋"/>
        </w:rPr>
      </w:pPr>
      <w:r>
        <w:rPr>
          <w:rFonts w:hint="eastAsia" w:ascii="仿宋" w:hAnsi="仿宋"/>
        </w:rPr>
        <w:t>（二）为客户提供合作套保资金；</w:t>
      </w:r>
    </w:p>
    <w:p>
      <w:pPr>
        <w:spacing w:line="360" w:lineRule="auto"/>
        <w:ind w:firstLine="480" w:firstLineChars="200"/>
        <w:rPr>
          <w:rFonts w:ascii="仿宋" w:hAnsi="仿宋"/>
        </w:rPr>
      </w:pPr>
      <w:r>
        <w:rPr>
          <w:rFonts w:hint="eastAsia" w:ascii="仿宋" w:hAnsi="仿宋"/>
        </w:rPr>
        <w:t>（三）挪用客户合作套保资金；</w:t>
      </w:r>
    </w:p>
    <w:p>
      <w:pPr>
        <w:spacing w:line="360" w:lineRule="auto"/>
        <w:ind w:firstLine="480" w:firstLineChars="200"/>
        <w:rPr>
          <w:rFonts w:ascii="仿宋" w:hAnsi="仿宋"/>
        </w:rPr>
      </w:pPr>
      <w:r>
        <w:rPr>
          <w:rFonts w:hint="eastAsia" w:ascii="仿宋" w:hAnsi="仿宋"/>
        </w:rPr>
        <w:t>（四）中国证监会及协会禁止的其他行为。</w:t>
      </w:r>
    </w:p>
    <w:p>
      <w:pPr>
        <w:spacing w:line="360" w:lineRule="auto"/>
        <w:ind w:firstLine="480" w:firstLineChars="200"/>
        <w:rPr>
          <w:rFonts w:ascii="仿宋" w:hAnsi="仿宋"/>
        </w:rPr>
      </w:pPr>
      <w:r>
        <w:rPr>
          <w:rFonts w:hint="eastAsia" w:ascii="仿宋" w:hAnsi="仿宋"/>
        </w:rPr>
        <w:t>第二十六条 风险管理公司开展场外衍生品业务，不得存在以下行为：</w:t>
      </w:r>
    </w:p>
    <w:p>
      <w:pPr>
        <w:spacing w:line="360" w:lineRule="auto"/>
        <w:ind w:firstLine="480" w:firstLineChars="200"/>
        <w:rPr>
          <w:rFonts w:ascii="仿宋" w:hAnsi="仿宋"/>
        </w:rPr>
      </w:pPr>
      <w:r>
        <w:rPr>
          <w:rFonts w:hint="eastAsia" w:ascii="仿宋" w:hAnsi="仿宋"/>
        </w:rPr>
        <w:t>（一）与自然人签订业务合同或开展场外衍生品交易；</w:t>
      </w:r>
    </w:p>
    <w:p>
      <w:pPr>
        <w:spacing w:line="360" w:lineRule="auto"/>
        <w:ind w:firstLine="480" w:firstLineChars="200"/>
        <w:rPr>
          <w:rFonts w:ascii="仿宋" w:hAnsi="仿宋"/>
        </w:rPr>
      </w:pPr>
      <w:r>
        <w:rPr>
          <w:rFonts w:hint="eastAsia" w:ascii="仿宋" w:hAnsi="仿宋"/>
        </w:rPr>
        <w:t>（二）未审慎评估交易对手资质，与从事非法证券期货活动的机构开展场外衍生品交易或其他业务合作；</w:t>
      </w:r>
    </w:p>
    <w:p>
      <w:pPr>
        <w:spacing w:line="360" w:lineRule="auto"/>
        <w:ind w:firstLine="480" w:firstLineChars="200"/>
        <w:rPr>
          <w:rFonts w:ascii="仿宋" w:hAnsi="仿宋"/>
        </w:rPr>
      </w:pPr>
      <w:r>
        <w:rPr>
          <w:rFonts w:hint="eastAsia" w:ascii="仿宋" w:hAnsi="仿宋"/>
        </w:rPr>
        <w:t>（三）为客户提供融资或变相融资服务；</w:t>
      </w:r>
    </w:p>
    <w:p>
      <w:pPr>
        <w:spacing w:line="360" w:lineRule="auto"/>
        <w:ind w:firstLine="480" w:firstLineChars="200"/>
        <w:rPr>
          <w:rFonts w:ascii="仿宋" w:hAnsi="仿宋"/>
        </w:rPr>
      </w:pPr>
      <w:r>
        <w:rPr>
          <w:rFonts w:hint="eastAsia" w:ascii="仿宋" w:hAnsi="仿宋"/>
        </w:rPr>
        <w:t>（四）收取超过履约保障需要的保证金；</w:t>
      </w:r>
    </w:p>
    <w:p>
      <w:pPr>
        <w:spacing w:line="360" w:lineRule="auto"/>
        <w:ind w:firstLine="480" w:firstLineChars="200"/>
        <w:rPr>
          <w:rFonts w:ascii="仿宋" w:hAnsi="仿宋"/>
        </w:rPr>
      </w:pPr>
      <w:r>
        <w:rPr>
          <w:rFonts w:hint="eastAsia" w:ascii="仿宋" w:hAnsi="仿宋"/>
        </w:rPr>
        <w:t>（五）依照客户指令使用保证金；</w:t>
      </w:r>
    </w:p>
    <w:p>
      <w:pPr>
        <w:spacing w:line="360" w:lineRule="auto"/>
        <w:ind w:firstLine="480" w:firstLineChars="200"/>
        <w:rPr>
          <w:rFonts w:ascii="仿宋" w:hAnsi="仿宋"/>
        </w:rPr>
      </w:pPr>
      <w:r>
        <w:rPr>
          <w:rFonts w:hint="eastAsia" w:ascii="仿宋" w:hAnsi="仿宋"/>
        </w:rPr>
        <w:t>（六）为其他机构规避监管或实施监管套利提供便利；</w:t>
      </w:r>
    </w:p>
    <w:p>
      <w:pPr>
        <w:spacing w:line="360" w:lineRule="auto"/>
        <w:ind w:firstLine="480" w:firstLineChars="200"/>
        <w:rPr>
          <w:rFonts w:ascii="仿宋" w:hAnsi="仿宋"/>
        </w:rPr>
      </w:pPr>
      <w:r>
        <w:rPr>
          <w:rFonts w:hint="eastAsia" w:ascii="仿宋" w:hAnsi="仿宋"/>
        </w:rPr>
        <w:t>（七）中国证监会及协会禁止的其他行为。</w:t>
      </w:r>
    </w:p>
    <w:p>
      <w:pPr>
        <w:keepNext/>
        <w:keepLines/>
        <w:spacing w:before="260" w:after="260" w:line="416" w:lineRule="auto"/>
        <w:outlineLvl w:val="2"/>
        <w:rPr>
          <w:rFonts w:ascii="仿宋" w:hAnsi="仿宋"/>
          <w:b/>
          <w:bCs/>
          <w:kern w:val="0"/>
        </w:rPr>
      </w:pPr>
      <w:bookmarkStart w:id="250" w:name="_Toc3896760"/>
      <w:r>
        <w:rPr>
          <w:rFonts w:hint="eastAsia" w:ascii="仿宋" w:hAnsi="仿宋"/>
          <w:b/>
          <w:bCs/>
          <w:kern w:val="0"/>
        </w:rPr>
        <w:t>（四）风险管理公司内部控制</w:t>
      </w:r>
      <w:bookmarkEnd w:id="250"/>
    </w:p>
    <w:p>
      <w:pPr>
        <w:spacing w:line="360" w:lineRule="auto"/>
        <w:ind w:firstLine="480" w:firstLineChars="200"/>
        <w:rPr>
          <w:rFonts w:ascii="仿宋" w:hAnsi="仿宋"/>
        </w:rPr>
      </w:pPr>
      <w:r>
        <w:rPr>
          <w:rFonts w:hint="eastAsia" w:ascii="仿宋" w:hAnsi="仿宋"/>
        </w:rPr>
        <w:t>依据：第二十七条 期货公司可以设立全资风险管理公司，也可以与其他投资者共同出资设立风险管理公司。风险管理公司的其他投资者应当有益于风险管理公司健全治理结构，提升管理水平，促进风险管理公司持续规范发展。其他投资者累计持有风险管理公司的股权比例不得超过49%。</w:t>
      </w:r>
    </w:p>
    <w:p>
      <w:pPr>
        <w:spacing w:line="360" w:lineRule="auto"/>
        <w:ind w:firstLine="480" w:firstLineChars="200"/>
        <w:rPr>
          <w:rFonts w:ascii="仿宋" w:hAnsi="仿宋"/>
        </w:rPr>
      </w:pPr>
      <w:r>
        <w:rPr>
          <w:rFonts w:hint="eastAsia" w:ascii="仿宋" w:hAnsi="仿宋"/>
        </w:rPr>
        <w:t>期货公司不得利用控股地位损害风险管理公司及其他投资者的合法权益，不得以任何形式向风险管理公司的其他投资者让渡对风险管理公司的控制权。</w:t>
      </w:r>
    </w:p>
    <w:p>
      <w:pPr>
        <w:spacing w:line="360" w:lineRule="auto"/>
        <w:ind w:firstLine="480" w:firstLineChars="200"/>
        <w:rPr>
          <w:rFonts w:ascii="仿宋" w:hAnsi="仿宋"/>
        </w:rPr>
      </w:pPr>
      <w:r>
        <w:rPr>
          <w:rFonts w:hint="eastAsia" w:ascii="仿宋" w:hAnsi="仿宋"/>
        </w:rPr>
        <w:t>第二十八条 除全资风险管理公司外，风险管理公司的股东会（股东大会）应当由各股东按照出资比例或者持有股份的比例行使表决权，各股东推荐并经选任的董事占董事会成员的比例应当与其出资比例或者持有股份的比例相对应。</w:t>
      </w:r>
    </w:p>
    <w:p>
      <w:pPr>
        <w:spacing w:line="360" w:lineRule="auto"/>
        <w:ind w:firstLine="480" w:firstLineChars="200"/>
        <w:rPr>
          <w:rFonts w:ascii="仿宋" w:hAnsi="仿宋"/>
        </w:rPr>
      </w:pPr>
      <w:r>
        <w:rPr>
          <w:rFonts w:hint="eastAsia" w:ascii="仿宋" w:hAnsi="仿宋"/>
        </w:rPr>
        <w:t>风险管理公司及其股东不得通过协议或者其他安排约定与上款规定相冲突的事项。</w:t>
      </w:r>
    </w:p>
    <w:p>
      <w:pPr>
        <w:spacing w:line="360" w:lineRule="auto"/>
        <w:ind w:firstLine="480" w:firstLineChars="200"/>
        <w:rPr>
          <w:rFonts w:ascii="仿宋" w:hAnsi="仿宋"/>
        </w:rPr>
      </w:pPr>
      <w:r>
        <w:rPr>
          <w:rFonts w:hint="eastAsia" w:ascii="仿宋" w:hAnsi="仿宋"/>
        </w:rPr>
        <w:t>第二十九条 风险管理公司不得直接或者间接持有期货公司、受同一期货公司控股的其他公司的股权或股份，或者以其他方式向期货公司、受同一期货公司控股的其他公司进行股权投资。</w:t>
      </w:r>
    </w:p>
    <w:p>
      <w:pPr>
        <w:spacing w:line="360" w:lineRule="auto"/>
        <w:ind w:firstLine="480" w:firstLineChars="200"/>
        <w:rPr>
          <w:rFonts w:ascii="仿宋" w:hAnsi="仿宋"/>
        </w:rPr>
      </w:pPr>
      <w:r>
        <w:rPr>
          <w:rFonts w:hint="eastAsia" w:ascii="仿宋" w:hAnsi="仿宋"/>
        </w:rPr>
        <w:t>第三十条 期货公司应当认真履行股东职责，加强对风险管理公司的管理，督促其遵守法律、法规和本指引规定，建立健全公司治理、内部控制、合规管理和风险管理等内部管理制度并有效执行，建立和落实对上述制度的有效性评估机制和内部责任追究机制。</w:t>
      </w:r>
    </w:p>
    <w:p>
      <w:pPr>
        <w:spacing w:line="360" w:lineRule="auto"/>
        <w:ind w:firstLine="480" w:firstLineChars="200"/>
        <w:rPr>
          <w:rFonts w:ascii="仿宋" w:hAnsi="仿宋"/>
        </w:rPr>
      </w:pPr>
      <w:r>
        <w:rPr>
          <w:rFonts w:hint="eastAsia" w:ascii="仿宋" w:hAnsi="仿宋"/>
        </w:rPr>
        <w:t>第三十一条 期货公司应当将风险管理公司的合规风控纳入公司全面风险管理体系，构建对风险管理公司业务风险的监测和风险处置机制，防范风险管理公司相关业务的合规风险、流动性风险、市场风险、信用风险、操作风险等各类风险，防止风险向期货公司或其他子公司传递。</w:t>
      </w:r>
    </w:p>
    <w:p>
      <w:pPr>
        <w:spacing w:line="360" w:lineRule="auto"/>
        <w:ind w:firstLine="480" w:firstLineChars="200"/>
        <w:rPr>
          <w:rFonts w:ascii="仿宋" w:hAnsi="仿宋"/>
        </w:rPr>
      </w:pPr>
      <w:r>
        <w:rPr>
          <w:rFonts w:hint="eastAsia" w:ascii="仿宋" w:hAnsi="仿宋"/>
        </w:rPr>
        <w:t>第三十二条 期货公司对风险管理公司每年至少开展一次合规检查，检查内容包括但不限于治理结构、合规运营、风险控制、业务和产品设计、交易执行、客户管理、财务管理、自有资金投资等。</w:t>
      </w:r>
    </w:p>
    <w:p>
      <w:pPr>
        <w:spacing w:line="360" w:lineRule="auto"/>
        <w:ind w:firstLine="480" w:firstLineChars="200"/>
        <w:rPr>
          <w:rFonts w:ascii="仿宋" w:hAnsi="仿宋"/>
        </w:rPr>
      </w:pPr>
      <w:r>
        <w:rPr>
          <w:rFonts w:hint="eastAsia" w:ascii="仿宋" w:hAnsi="仿宋"/>
        </w:rPr>
        <w:t>第三十三条 期货公司应当建立健全利益冲突识别和管理机制，识别期货公司业务与风险管理公司业务之间可能存在的利益冲突，评估其影响范围和程度，并采取有效措施防范利益冲突风险。</w:t>
      </w:r>
    </w:p>
    <w:p>
      <w:pPr>
        <w:spacing w:line="360" w:lineRule="auto"/>
        <w:ind w:firstLine="480" w:firstLineChars="200"/>
        <w:rPr>
          <w:rFonts w:ascii="仿宋" w:hAnsi="仿宋"/>
        </w:rPr>
      </w:pPr>
      <w:r>
        <w:rPr>
          <w:rFonts w:hint="eastAsia" w:ascii="仿宋" w:hAnsi="仿宋"/>
        </w:rPr>
        <w:t>第三十四条 期货公司与风险管理公司之间、风险管理公司之间、风险管理公司与期货公司其他子公司之间应当建立有效的业务隔离机制，加强对敏感信息的隔离、监控和管理，防止敏感信息不当流动和使用，防范风险传递、内幕交易、利益输送以及损害客户的合法权益。</w:t>
      </w:r>
    </w:p>
    <w:p>
      <w:pPr>
        <w:spacing w:line="360" w:lineRule="auto"/>
        <w:ind w:firstLine="480" w:firstLineChars="200"/>
        <w:rPr>
          <w:rFonts w:ascii="仿宋" w:hAnsi="仿宋"/>
        </w:rPr>
      </w:pPr>
      <w:r>
        <w:rPr>
          <w:rFonts w:hint="eastAsia" w:ascii="仿宋" w:hAnsi="仿宋"/>
        </w:rPr>
        <w:t>第四十二条 期货公司及其风险管理公司应当加强人员管理，防范道德风险。期货公司高级管理人员及其他从业人员不得在其风险管理公司兼任除董事、监事之外的职务。</w:t>
      </w:r>
    </w:p>
    <w:p>
      <w:pPr>
        <w:spacing w:line="360" w:lineRule="auto"/>
        <w:ind w:firstLine="480" w:firstLineChars="200"/>
        <w:rPr>
          <w:rFonts w:ascii="仿宋" w:hAnsi="仿宋"/>
        </w:rPr>
      </w:pPr>
      <w:r>
        <w:rPr>
          <w:rFonts w:hint="eastAsia" w:ascii="仿宋" w:hAnsi="仿宋"/>
        </w:rPr>
        <w:t>风险管理公司高级管理人员及其他工作人员不得在期货公司参股的公司兼任除董事、监事之外的职务，不得在其他从事期货及其他金融衍生品相关营利性机构兼任除董事、监事之外的职务。</w:t>
      </w:r>
    </w:p>
    <w:p>
      <w:pPr>
        <w:spacing w:line="360" w:lineRule="auto"/>
        <w:ind w:firstLine="480" w:firstLineChars="200"/>
        <w:rPr>
          <w:rFonts w:ascii="仿宋" w:hAnsi="仿宋"/>
        </w:rPr>
      </w:pPr>
      <w:r>
        <w:rPr>
          <w:rFonts w:hint="eastAsia" w:ascii="仿宋" w:hAnsi="仿宋"/>
        </w:rPr>
        <w:t>第四十三条 风险管理公司应当建立业务隔离墙制度，采取有效隔离措施，防止有利益冲突的业务之间信息的不当流动和风险传递。</w:t>
      </w:r>
    </w:p>
    <w:p>
      <w:pPr>
        <w:spacing w:line="360" w:lineRule="auto"/>
        <w:ind w:firstLine="480" w:firstLineChars="200"/>
        <w:rPr>
          <w:rFonts w:ascii="仿宋" w:hAnsi="仿宋"/>
        </w:rPr>
      </w:pPr>
      <w:r>
        <w:rPr>
          <w:rFonts w:hint="eastAsia" w:ascii="仿宋" w:hAnsi="仿宋"/>
        </w:rPr>
        <w:t>风险管理公司的交易执行、风险控制岗位不得互相兼职，会计岗位应当配备专职人员，不得兼职。</w:t>
      </w:r>
    </w:p>
    <w:p>
      <w:pPr>
        <w:spacing w:line="360" w:lineRule="auto"/>
        <w:ind w:firstLine="480" w:firstLineChars="200"/>
        <w:rPr>
          <w:rFonts w:ascii="仿宋" w:hAnsi="仿宋"/>
        </w:rPr>
      </w:pPr>
      <w:r>
        <w:rPr>
          <w:rFonts w:hint="eastAsia" w:ascii="仿宋" w:hAnsi="仿宋"/>
        </w:rPr>
        <w:t>第四十四条 风险管理公司工作人员本人及其配偶不得以本人或者他人名义从事期货交易。风险管理公司及其期货公司发现涉嫌违规交易行为的，应及时调查处理。</w:t>
      </w:r>
    </w:p>
    <w:p>
      <w:pPr>
        <w:spacing w:line="360" w:lineRule="auto"/>
        <w:ind w:firstLine="480" w:firstLineChars="200"/>
        <w:rPr>
          <w:rFonts w:ascii="仿宋" w:hAnsi="仿宋"/>
        </w:rPr>
      </w:pPr>
      <w:r>
        <w:rPr>
          <w:rFonts w:hint="eastAsia" w:ascii="仿宋" w:hAnsi="仿宋"/>
        </w:rPr>
        <w:t>第四十五条 风险管理公司在处理公司与客户之间、不同客户之间的利益冲突时，应当遵循公平原则。</w:t>
      </w:r>
    </w:p>
    <w:p>
      <w:pPr>
        <w:keepNext/>
        <w:keepLines/>
        <w:spacing w:before="260" w:after="260" w:line="416" w:lineRule="auto"/>
        <w:outlineLvl w:val="2"/>
        <w:rPr>
          <w:rFonts w:ascii="仿宋" w:hAnsi="仿宋"/>
          <w:b/>
          <w:bCs/>
          <w:kern w:val="0"/>
        </w:rPr>
      </w:pPr>
      <w:bookmarkStart w:id="251" w:name="_Toc3896761"/>
      <w:r>
        <w:rPr>
          <w:rFonts w:hint="eastAsia" w:ascii="仿宋" w:hAnsi="仿宋"/>
          <w:b/>
          <w:bCs/>
          <w:kern w:val="0"/>
        </w:rPr>
        <w:t>（五）风险管理公司的信息报送与披露</w:t>
      </w:r>
      <w:bookmarkEnd w:id="251"/>
    </w:p>
    <w:p>
      <w:pPr>
        <w:spacing w:line="360" w:lineRule="auto"/>
        <w:ind w:firstLine="480" w:firstLineChars="200"/>
        <w:rPr>
          <w:rFonts w:ascii="仿宋" w:hAnsi="仿宋"/>
        </w:rPr>
      </w:pPr>
      <w:r>
        <w:rPr>
          <w:rFonts w:hint="eastAsia" w:ascii="仿宋" w:hAnsi="仿宋"/>
        </w:rPr>
        <w:t>依据：第四十九条 期货公司应当于协会通过风险管理公司备案申请后5个工作日内在本公司网站对风险管理公司名称、住所地、注册资本、经营范围、备案试点业务和期货账户开立情况进行公示。</w:t>
      </w:r>
    </w:p>
    <w:p>
      <w:pPr>
        <w:spacing w:line="360" w:lineRule="auto"/>
        <w:ind w:firstLine="480" w:firstLineChars="200"/>
        <w:rPr>
          <w:rFonts w:ascii="仿宋" w:hAnsi="仿宋"/>
        </w:rPr>
      </w:pPr>
      <w:r>
        <w:rPr>
          <w:rFonts w:hint="eastAsia" w:ascii="仿宋" w:hAnsi="仿宋"/>
        </w:rPr>
        <w:t>第五十条 风险管理公司应当于每月度结束后7个工作日内，按照规定的内容与格式向协会报送月度经营数据和财务报表。</w:t>
      </w:r>
    </w:p>
    <w:p>
      <w:pPr>
        <w:spacing w:line="360" w:lineRule="auto"/>
        <w:ind w:firstLine="480" w:firstLineChars="200"/>
        <w:rPr>
          <w:rFonts w:ascii="仿宋" w:hAnsi="仿宋"/>
        </w:rPr>
      </w:pPr>
      <w:r>
        <w:rPr>
          <w:rFonts w:hint="eastAsia" w:ascii="仿宋" w:hAnsi="仿宋"/>
        </w:rPr>
        <w:t>风险管理公司应当于每年度结束后4个月内向协会报送加盖风险管理公司公章的年度报告，包括运营情况、自律规则执行及内部制度执行情况以及经具有证券期货业务资格的会计师事务所审计的会计报表和审计报告。</w:t>
      </w:r>
    </w:p>
    <w:p>
      <w:pPr>
        <w:spacing w:line="360" w:lineRule="auto"/>
        <w:ind w:firstLine="480" w:firstLineChars="200"/>
        <w:rPr>
          <w:rFonts w:ascii="仿宋" w:hAnsi="仿宋"/>
        </w:rPr>
      </w:pPr>
      <w:r>
        <w:rPr>
          <w:rFonts w:hint="eastAsia" w:ascii="仿宋" w:hAnsi="仿宋"/>
        </w:rPr>
        <w:t>第五十一条 风险管理公司经营过程中发生以下情形的，应当于发生之日起5个工作日内以书面形式向协会报告：</w:t>
      </w:r>
    </w:p>
    <w:p>
      <w:pPr>
        <w:spacing w:line="360" w:lineRule="auto"/>
        <w:ind w:firstLine="480" w:firstLineChars="200"/>
        <w:rPr>
          <w:rFonts w:ascii="仿宋" w:hAnsi="仿宋"/>
        </w:rPr>
      </w:pPr>
      <w:r>
        <w:rPr>
          <w:rFonts w:hint="eastAsia" w:ascii="仿宋" w:hAnsi="仿宋"/>
        </w:rPr>
        <w:t>（一）进行重大股权投资或并购活动；</w:t>
      </w:r>
    </w:p>
    <w:p>
      <w:pPr>
        <w:spacing w:line="360" w:lineRule="auto"/>
        <w:ind w:firstLine="480" w:firstLineChars="200"/>
        <w:rPr>
          <w:rFonts w:ascii="仿宋" w:hAnsi="仿宋"/>
        </w:rPr>
      </w:pPr>
      <w:r>
        <w:rPr>
          <w:rFonts w:hint="eastAsia" w:ascii="仿宋" w:hAnsi="仿宋"/>
        </w:rPr>
        <w:t>（二）发生重大债务违约或者发生大额赔偿责任；</w:t>
      </w:r>
    </w:p>
    <w:p>
      <w:pPr>
        <w:spacing w:line="360" w:lineRule="auto"/>
        <w:ind w:firstLine="480" w:firstLineChars="200"/>
        <w:rPr>
          <w:rFonts w:ascii="仿宋" w:hAnsi="仿宋"/>
        </w:rPr>
      </w:pPr>
      <w:r>
        <w:rPr>
          <w:rFonts w:hint="eastAsia" w:ascii="仿宋" w:hAnsi="仿宋"/>
        </w:rPr>
        <w:t>（三）发生重大亏损或者重大损失；</w:t>
      </w:r>
    </w:p>
    <w:p>
      <w:pPr>
        <w:spacing w:line="360" w:lineRule="auto"/>
        <w:ind w:firstLine="480" w:firstLineChars="200"/>
        <w:rPr>
          <w:rFonts w:ascii="仿宋" w:hAnsi="仿宋"/>
        </w:rPr>
      </w:pPr>
      <w:r>
        <w:rPr>
          <w:rFonts w:hint="eastAsia" w:ascii="仿宋" w:hAnsi="仿宋"/>
        </w:rPr>
        <w:t>（四）减资、合并、分立、解散及申请破产的决定，或者依法进入破产程序、被责令关闭；</w:t>
      </w:r>
    </w:p>
    <w:p>
      <w:pPr>
        <w:spacing w:line="360" w:lineRule="auto"/>
        <w:ind w:firstLine="480" w:firstLineChars="200"/>
        <w:rPr>
          <w:rFonts w:ascii="仿宋" w:hAnsi="仿宋"/>
        </w:rPr>
      </w:pPr>
      <w:r>
        <w:rPr>
          <w:rFonts w:hint="eastAsia" w:ascii="仿宋" w:hAnsi="仿宋"/>
        </w:rPr>
        <w:t xml:space="preserve">（五）涉及重大诉讼、仲裁，股东大会、董事会决议被依法撤销或者宣告无效； </w:t>
      </w:r>
    </w:p>
    <w:p>
      <w:pPr>
        <w:spacing w:line="360" w:lineRule="auto"/>
        <w:ind w:firstLine="480" w:firstLineChars="200"/>
        <w:rPr>
          <w:rFonts w:ascii="仿宋" w:hAnsi="仿宋"/>
        </w:rPr>
      </w:pPr>
      <w:r>
        <w:rPr>
          <w:rFonts w:hint="eastAsia" w:ascii="仿宋" w:hAnsi="仿宋"/>
        </w:rPr>
        <w:t>（六）涉嫌违法违规被有权机关调查，或者受到刑事处罚、重大行政处罚；</w:t>
      </w:r>
    </w:p>
    <w:p>
      <w:pPr>
        <w:spacing w:line="360" w:lineRule="auto"/>
        <w:ind w:firstLine="480" w:firstLineChars="200"/>
        <w:rPr>
          <w:rFonts w:ascii="仿宋" w:hAnsi="仿宋"/>
        </w:rPr>
      </w:pPr>
      <w:r>
        <w:rPr>
          <w:rFonts w:hint="eastAsia" w:ascii="仿宋" w:hAnsi="仿宋"/>
        </w:rPr>
        <w:t>（七）公司董事、监事、高级管理人员涉嫌违法违规被有权机关调查或者采取强制措施；</w:t>
      </w:r>
    </w:p>
    <w:p>
      <w:pPr>
        <w:spacing w:line="360" w:lineRule="auto"/>
        <w:ind w:firstLine="480" w:firstLineChars="200"/>
        <w:rPr>
          <w:rFonts w:ascii="仿宋" w:hAnsi="仿宋"/>
        </w:rPr>
      </w:pPr>
      <w:r>
        <w:rPr>
          <w:rFonts w:hint="eastAsia" w:ascii="仿宋" w:hAnsi="仿宋"/>
        </w:rPr>
        <w:t>（八）主要资产被查封、扣押、冻结；</w:t>
      </w:r>
    </w:p>
    <w:p>
      <w:pPr>
        <w:spacing w:line="360" w:lineRule="auto"/>
        <w:ind w:firstLine="480" w:firstLineChars="200"/>
        <w:rPr>
          <w:rFonts w:ascii="仿宋" w:hAnsi="仿宋"/>
        </w:rPr>
      </w:pPr>
      <w:r>
        <w:rPr>
          <w:rFonts w:hint="eastAsia" w:ascii="仿宋" w:hAnsi="仿宋"/>
        </w:rPr>
        <w:t>（九）对外提供重大担保；</w:t>
      </w:r>
    </w:p>
    <w:p>
      <w:pPr>
        <w:spacing w:line="360" w:lineRule="auto"/>
        <w:ind w:firstLine="480" w:firstLineChars="200"/>
        <w:rPr>
          <w:rFonts w:ascii="仿宋" w:hAnsi="仿宋"/>
        </w:rPr>
      </w:pPr>
      <w:r>
        <w:rPr>
          <w:rFonts w:hint="eastAsia" w:ascii="仿宋" w:hAnsi="仿宋"/>
        </w:rPr>
        <w:t>（十）发生重大客户投诉；</w:t>
      </w:r>
    </w:p>
    <w:p>
      <w:pPr>
        <w:spacing w:line="360" w:lineRule="auto"/>
        <w:ind w:firstLine="480" w:firstLineChars="200"/>
        <w:rPr>
          <w:rFonts w:ascii="仿宋" w:hAnsi="仿宋"/>
        </w:rPr>
      </w:pPr>
      <w:r>
        <w:rPr>
          <w:rFonts w:hint="eastAsia" w:ascii="仿宋" w:hAnsi="仿宋"/>
        </w:rPr>
        <w:t>（十一）其他可能影响风险管理公司持续运行、客户利益的重大事件。</w:t>
      </w:r>
    </w:p>
    <w:p>
      <w:pPr>
        <w:spacing w:line="360" w:lineRule="auto"/>
        <w:ind w:firstLine="480" w:firstLineChars="200"/>
        <w:rPr>
          <w:rFonts w:ascii="仿宋" w:hAnsi="仿宋"/>
        </w:rPr>
      </w:pPr>
      <w:r>
        <w:rPr>
          <w:rFonts w:hint="eastAsia" w:ascii="仿宋" w:hAnsi="仿宋"/>
        </w:rPr>
        <w:t>前款所称重大是指对于净资产小于人民币1亿元的风险管理公司，金额为最近一期净资产的10%；对于净资产大于人民币1亿元且小于10亿元的风险管理公司，金额为人民币1000万元；对于净资产大于人民币10亿元的风险管理公司，金额为人民币5000万元。</w:t>
      </w:r>
    </w:p>
    <w:p>
      <w:pPr>
        <w:keepNext/>
        <w:keepLines/>
        <w:spacing w:before="260" w:after="260" w:line="416" w:lineRule="auto"/>
        <w:outlineLvl w:val="2"/>
        <w:rPr>
          <w:rFonts w:ascii="仿宋" w:hAnsi="仿宋"/>
          <w:b/>
          <w:bCs/>
          <w:kern w:val="0"/>
        </w:rPr>
      </w:pPr>
      <w:bookmarkStart w:id="252" w:name="_Toc3896762"/>
      <w:r>
        <w:rPr>
          <w:rFonts w:hint="eastAsia" w:ascii="仿宋" w:hAnsi="仿宋"/>
          <w:b/>
          <w:bCs/>
          <w:kern w:val="0"/>
        </w:rPr>
        <w:t>（六）风险管理公司相关自律管理规定</w:t>
      </w:r>
      <w:bookmarkEnd w:id="252"/>
    </w:p>
    <w:p>
      <w:pPr>
        <w:spacing w:line="360" w:lineRule="auto"/>
        <w:ind w:firstLine="480" w:firstLineChars="200"/>
        <w:rPr>
          <w:rFonts w:ascii="仿宋" w:hAnsi="仿宋"/>
        </w:rPr>
      </w:pPr>
      <w:r>
        <w:rPr>
          <w:rFonts w:hint="eastAsia" w:ascii="仿宋" w:hAnsi="仿宋"/>
        </w:rPr>
        <w:t>第五十五条 风险管理公司及其工作人员存在以下情形的，协会可以视情节轻重，对风险管理公司作出训诫、公开谴责、限期整改、暂停部分会员权利、暂停或取消会员资格的纪律惩戒，并同时暂停或取消其部分或全部备案业务；对工作人员作出训诫、公开谴责的纪律惩戒：</w:t>
      </w:r>
    </w:p>
    <w:p>
      <w:pPr>
        <w:spacing w:line="360" w:lineRule="auto"/>
        <w:ind w:firstLine="480" w:firstLineChars="200"/>
        <w:rPr>
          <w:rFonts w:ascii="仿宋" w:hAnsi="仿宋"/>
        </w:rPr>
      </w:pPr>
      <w:r>
        <w:rPr>
          <w:rFonts w:hint="eastAsia" w:ascii="仿宋" w:hAnsi="仿宋"/>
        </w:rPr>
        <w:t>（一）违反本指引第十七条、第二十三条、第二十四条、第二十五条、第二十六条等规定；</w:t>
      </w:r>
    </w:p>
    <w:p>
      <w:pPr>
        <w:spacing w:line="360" w:lineRule="auto"/>
        <w:ind w:firstLine="480" w:firstLineChars="200"/>
        <w:rPr>
          <w:rFonts w:ascii="仿宋" w:hAnsi="仿宋"/>
        </w:rPr>
      </w:pPr>
      <w:r>
        <w:rPr>
          <w:rFonts w:hint="eastAsia" w:ascii="仿宋" w:hAnsi="仿宋"/>
        </w:rPr>
        <w:t>（二）开展的业务不符合本指引第三条规定的业务范围或试点方向的。</w:t>
      </w:r>
    </w:p>
    <w:p>
      <w:pPr>
        <w:spacing w:line="360" w:lineRule="auto"/>
        <w:ind w:firstLine="480" w:firstLineChars="200"/>
        <w:rPr>
          <w:rFonts w:ascii="仿宋" w:hAnsi="仿宋"/>
        </w:rPr>
      </w:pPr>
      <w:r>
        <w:rPr>
          <w:rFonts w:hint="eastAsia" w:ascii="仿宋" w:hAnsi="仿宋"/>
        </w:rPr>
        <w:t>第五十六条 期货公司被中国证监会及其派出机构给予行政处罚或采取监管措施、被司法机关追究法律责任的，风险管理公司负有直接责任的，协会可以要求风险管理公司在一定期限内对相关问题予以整改，并依据情节轻重，暂停或取消其部分或全部备案业务，暂停受理风险管理公司新增备案业务。</w:t>
      </w:r>
    </w:p>
    <w:p>
      <w:pPr>
        <w:spacing w:line="360" w:lineRule="auto"/>
        <w:ind w:firstLine="480" w:firstLineChars="200"/>
        <w:rPr>
          <w:rFonts w:ascii="仿宋" w:hAnsi="仿宋"/>
        </w:rPr>
      </w:pPr>
      <w:r>
        <w:rPr>
          <w:rFonts w:hint="eastAsia" w:ascii="仿宋" w:hAnsi="仿宋"/>
        </w:rPr>
        <w:t>第五十七条 风险管理公司受到纪律惩戒，期货公司及其从业人员负有责任的，协会可以依据情节轻重对期货公司作出书面警示、约见高管谈话的批评警示或训诫、公开谴责、限期整改、暂停会员部分权利、暂停或取消会员资格的纪律惩戒，对直接负责的主管人员和其他直接责任人员作出训诫、公开谴责、暂停或撤销从业资格的纪律惩戒。</w:t>
      </w:r>
    </w:p>
    <w:p>
      <w:pPr>
        <w:spacing w:line="360" w:lineRule="auto"/>
        <w:ind w:firstLine="480" w:firstLineChars="200"/>
        <w:rPr>
          <w:rFonts w:ascii="仿宋" w:hAnsi="仿宋"/>
        </w:rPr>
      </w:pPr>
      <w:r>
        <w:rPr>
          <w:rFonts w:hint="eastAsia" w:ascii="仿宋" w:hAnsi="仿宋"/>
        </w:rPr>
        <w:t>第五十八条 协会对期货公司及其从业人员、风险管理公司及其工作人员作出的纪律惩戒，报告中国证监会并抄报期货公司住所地中国证监会派出机构及相关单位，在协会网站或相关媒体上公布，并记入协会行业信息管理平台及证券期货市场诚信档案数据库。</w:t>
      </w:r>
    </w:p>
    <w:p>
      <w:pPr>
        <w:spacing w:line="360" w:lineRule="auto"/>
        <w:ind w:firstLine="480" w:firstLineChars="200"/>
        <w:rPr>
          <w:rFonts w:ascii="仿宋" w:hAnsi="仿宋"/>
        </w:rPr>
      </w:pPr>
    </w:p>
    <w:p>
      <w:pPr>
        <w:pStyle w:val="3"/>
        <w:rPr>
          <w:rFonts w:ascii="仿宋" w:hAnsi="仿宋"/>
          <w:sz w:val="24"/>
          <w:szCs w:val="24"/>
        </w:rPr>
      </w:pPr>
      <w:bookmarkStart w:id="253" w:name="_Toc3896763"/>
      <w:r>
        <w:rPr>
          <w:rFonts w:hint="eastAsia" w:ascii="仿宋" w:hAnsi="仿宋"/>
          <w:sz w:val="24"/>
          <w:szCs w:val="24"/>
        </w:rPr>
        <w:t>四、关于异常交易</w:t>
      </w:r>
      <w:bookmarkEnd w:id="242"/>
      <w:bookmarkEnd w:id="243"/>
      <w:bookmarkEnd w:id="244"/>
      <w:bookmarkEnd w:id="253"/>
    </w:p>
    <w:p>
      <w:pPr>
        <w:spacing w:line="360" w:lineRule="auto"/>
        <w:ind w:firstLine="480" w:firstLineChars="200"/>
        <w:rPr>
          <w:rFonts w:ascii="仿宋" w:hAnsi="仿宋"/>
        </w:rPr>
      </w:pPr>
      <w:r>
        <w:rPr>
          <w:rFonts w:hint="eastAsia" w:ascii="仿宋" w:hAnsi="仿宋"/>
        </w:rPr>
        <w:t>了解四交易所异常交易监控相关规定，掌握交易所关于期货市场实际控制关系账户的认定标准、期货市场实际控制关系账户异常交易的监控标准。</w:t>
      </w:r>
    </w:p>
    <w:p>
      <w:pPr>
        <w:pStyle w:val="4"/>
        <w:rPr>
          <w:rFonts w:ascii="仿宋" w:hAnsi="仿宋"/>
          <w:szCs w:val="24"/>
        </w:rPr>
      </w:pPr>
      <w:bookmarkStart w:id="254" w:name="_Toc403654024"/>
      <w:bookmarkStart w:id="255" w:name="_Toc403829824"/>
      <w:bookmarkStart w:id="256" w:name="_Toc410115152"/>
      <w:bookmarkStart w:id="257" w:name="_Toc3896764"/>
      <w:r>
        <w:rPr>
          <w:rFonts w:hint="eastAsia" w:ascii="仿宋" w:hAnsi="仿宋"/>
          <w:kern w:val="0"/>
          <w:szCs w:val="24"/>
        </w:rPr>
        <w:t>（一）</w:t>
      </w:r>
      <w:r>
        <w:rPr>
          <w:rFonts w:hint="eastAsia" w:ascii="仿宋" w:hAnsi="仿宋"/>
          <w:szCs w:val="24"/>
        </w:rPr>
        <w:t>交易所关于期货市场实际控制关系账户的认定标准</w:t>
      </w:r>
      <w:bookmarkEnd w:id="254"/>
      <w:bookmarkEnd w:id="255"/>
      <w:bookmarkEnd w:id="256"/>
      <w:bookmarkEnd w:id="257"/>
    </w:p>
    <w:p>
      <w:pPr>
        <w:spacing w:line="360" w:lineRule="auto"/>
        <w:ind w:firstLine="480" w:firstLineChars="200"/>
        <w:rPr>
          <w:rFonts w:ascii="仿宋" w:hAnsi="仿宋"/>
        </w:rPr>
      </w:pPr>
      <w:r>
        <w:rPr>
          <w:rFonts w:hint="eastAsia" w:ascii="仿宋" w:hAnsi="仿宋"/>
        </w:rPr>
        <w:t>依据:</w:t>
      </w:r>
    </w:p>
    <w:p>
      <w:pPr>
        <w:spacing w:line="360" w:lineRule="auto"/>
        <w:ind w:firstLine="480" w:firstLineChars="200"/>
        <w:rPr>
          <w:rFonts w:ascii="仿宋" w:hAnsi="仿宋"/>
        </w:rPr>
      </w:pPr>
      <w:r>
        <w:rPr>
          <w:rFonts w:hint="eastAsia" w:ascii="仿宋" w:hAnsi="仿宋"/>
        </w:rPr>
        <w:t>《关于&lt;大连商品交易所异常交易管理办法（试行）&gt;有关实际控制关系账户监管标准的通知》实际控制是指行为人（包括个人、单位）对他人（包括个人、单位）期货账户具有管理、使用、收益或者处分等权限，从而对他人交易决策拥有决定权的行为或事实。根据实质重于形式的原则认定行为人对他人期货账户的交易具有实际控制关系。</w:t>
      </w:r>
    </w:p>
    <w:p>
      <w:pPr>
        <w:spacing w:line="360" w:lineRule="auto"/>
        <w:ind w:firstLine="480" w:firstLineChars="200"/>
        <w:rPr>
          <w:rFonts w:ascii="仿宋" w:hAnsi="仿宋"/>
        </w:rPr>
      </w:pPr>
      <w:r>
        <w:rPr>
          <w:rFonts w:hint="eastAsia" w:ascii="仿宋" w:hAnsi="仿宋"/>
        </w:rPr>
        <w:t>《关于&lt;上海期货交易所异常交易监控暂行规定&gt;有关期货市场实际控制关系账户的认定标准的通知》实际控制是指行为人（包括个人、单位）对他人（包括个人、单位）期货账户具有管理、使用、收益或者处分等权限，从而对他人交易决策拥有决定权的行为或事实。根据实质重于形式的原则应当认定为行为人对他人期货账户的交易具有实际控制关系。</w:t>
      </w:r>
    </w:p>
    <w:p>
      <w:pPr>
        <w:spacing w:line="360" w:lineRule="auto"/>
        <w:ind w:firstLine="480" w:firstLineChars="200"/>
        <w:rPr>
          <w:rFonts w:ascii="仿宋" w:hAnsi="仿宋"/>
        </w:rPr>
      </w:pPr>
      <w:r>
        <w:rPr>
          <w:rFonts w:hint="eastAsia" w:ascii="仿宋" w:hAnsi="仿宋"/>
        </w:rPr>
        <w:t>《关于&lt;郑州商品交易所异常交易行为监管工作指引（试行）&gt;有关实际控制关系账户认定标准及报备制度的通知》实际控制是指行为人（包括个人、单位）对他人（包括个人、单位）期货账户具有管理、使用、收益或者处分等权限，从而对他人交易决策拥有决定权的行为或事实。根据实质重于形式的原则，应当认定为行为人对他人期货账户的交易具有实际控制关系。</w:t>
      </w:r>
    </w:p>
    <w:p>
      <w:pPr>
        <w:spacing w:line="360" w:lineRule="auto"/>
        <w:ind w:firstLine="480" w:firstLineChars="200"/>
        <w:rPr>
          <w:rFonts w:ascii="仿宋" w:hAnsi="仿宋"/>
        </w:rPr>
      </w:pPr>
      <w:r>
        <w:rPr>
          <w:rFonts w:hint="eastAsia" w:ascii="仿宋" w:hAnsi="仿宋"/>
        </w:rPr>
        <w:t>《中金所实际控制关系账户报备指引（试行）》实际控制是指行为人（包括个人、单位）对他人（包括个人、单位）期货账户具有管理、使用、收益或者处分等权限，从而对他人交易决策拥有决定权的行为或者事实。根据实质重于形式的原则，应当认定为行为人对他人期货账户的交易具有实际控制关系。</w:t>
      </w:r>
    </w:p>
    <w:p>
      <w:pPr>
        <w:spacing w:line="360" w:lineRule="auto"/>
        <w:ind w:firstLine="480" w:firstLineChars="200"/>
        <w:rPr>
          <w:rFonts w:ascii="仿宋" w:hAnsi="仿宋"/>
        </w:rPr>
      </w:pPr>
    </w:p>
    <w:p>
      <w:pPr>
        <w:pStyle w:val="4"/>
        <w:spacing w:before="0" w:after="0" w:line="360" w:lineRule="auto"/>
        <w:ind w:firstLine="482" w:firstLineChars="200"/>
        <w:rPr>
          <w:rFonts w:ascii="仿宋" w:hAnsi="仿宋"/>
          <w:szCs w:val="24"/>
        </w:rPr>
      </w:pPr>
      <w:bookmarkStart w:id="258" w:name="_Toc403654025"/>
      <w:bookmarkStart w:id="259" w:name="_Toc403829825"/>
      <w:bookmarkStart w:id="260" w:name="_Toc410115153"/>
      <w:bookmarkStart w:id="261" w:name="_Toc3896765"/>
      <w:r>
        <w:rPr>
          <w:rFonts w:hint="eastAsia" w:ascii="仿宋" w:hAnsi="仿宋"/>
          <w:kern w:val="0"/>
          <w:szCs w:val="24"/>
        </w:rPr>
        <w:t>（二）</w:t>
      </w:r>
      <w:r>
        <w:rPr>
          <w:rFonts w:hint="eastAsia" w:ascii="仿宋" w:hAnsi="仿宋"/>
          <w:szCs w:val="24"/>
        </w:rPr>
        <w:t>期货市场实际控制关系账户异常交易的监控标准</w:t>
      </w:r>
      <w:bookmarkEnd w:id="258"/>
      <w:bookmarkEnd w:id="259"/>
      <w:bookmarkEnd w:id="260"/>
      <w:bookmarkEnd w:id="261"/>
    </w:p>
    <w:p>
      <w:pPr>
        <w:spacing w:line="360" w:lineRule="auto"/>
        <w:ind w:firstLine="480" w:firstLineChars="200"/>
        <w:rPr>
          <w:rFonts w:ascii="仿宋" w:hAnsi="仿宋"/>
          <w:b/>
        </w:rPr>
      </w:pPr>
      <w:r>
        <w:rPr>
          <w:rFonts w:hint="eastAsia" w:ascii="仿宋" w:hAnsi="仿宋"/>
        </w:rPr>
        <w:t>依据：</w:t>
      </w:r>
    </w:p>
    <w:p>
      <w:pPr>
        <w:spacing w:line="360" w:lineRule="auto"/>
        <w:ind w:firstLine="480" w:firstLineChars="200"/>
        <w:rPr>
          <w:rFonts w:ascii="仿宋" w:hAnsi="仿宋"/>
        </w:rPr>
      </w:pPr>
      <w:r>
        <w:rPr>
          <w:rFonts w:hint="eastAsia" w:ascii="仿宋" w:hAnsi="仿宋"/>
        </w:rPr>
        <w:t>《大连商品交易所异常交易管理办法》第5条期货交易出现以下情形之一的，为异常交易行为：（五）交易所认定的实际控制关系账户组合并持仓超过交易所持仓限额规定；</w:t>
      </w:r>
    </w:p>
    <w:p>
      <w:pPr>
        <w:spacing w:line="360" w:lineRule="auto"/>
        <w:ind w:firstLine="480" w:firstLineChars="200"/>
        <w:rPr>
          <w:rFonts w:ascii="仿宋" w:hAnsi="仿宋"/>
        </w:rPr>
      </w:pPr>
      <w:r>
        <w:rPr>
          <w:rFonts w:hint="eastAsia" w:ascii="仿宋" w:hAnsi="仿宋"/>
        </w:rPr>
        <w:t>《&lt;上海期货交易所异常交易监控暂行规定&gt;修订案》第5条期货交易出现以下情形之一的，交易所认定为异常交易行为：（五）一组实际控制关系账户内的客户合并持仓超过交易所持仓限额的规定；</w:t>
      </w:r>
    </w:p>
    <w:p>
      <w:pPr>
        <w:spacing w:line="360" w:lineRule="auto"/>
        <w:ind w:firstLine="480" w:firstLineChars="200"/>
        <w:rPr>
          <w:rFonts w:ascii="仿宋" w:hAnsi="仿宋"/>
        </w:rPr>
      </w:pPr>
      <w:r>
        <w:rPr>
          <w:rFonts w:hint="eastAsia" w:ascii="仿宋" w:hAnsi="仿宋"/>
        </w:rPr>
        <w:t>《郑州商品交易所异常交易行为监管工作指引（试行）》第5条异常交易行为情形：（四）关联账户合并持仓超限行为，是指被交易所认定为关联账户的一组客户持仓合并计算后超出交易所规定持仓限额的行为。</w:t>
      </w:r>
    </w:p>
    <w:p>
      <w:pPr>
        <w:spacing w:line="360" w:lineRule="auto"/>
        <w:ind w:firstLine="480" w:firstLineChars="200"/>
        <w:rPr>
          <w:rFonts w:ascii="仿宋" w:hAnsi="仿宋"/>
        </w:rPr>
      </w:pPr>
      <w:r>
        <w:rPr>
          <w:rFonts w:hint="eastAsia" w:ascii="仿宋" w:hAnsi="仿宋"/>
        </w:rPr>
        <w:t>《中国金融期货交易所期货异常交易监控指引（试行）》第5条期货交易出现以下情形之一的，是为异常交易行为：（七）两个或者两个以上涉嫌存在实际控制关系的交易编码合并持仓超过交易所持仓限额规定；</w:t>
      </w:r>
    </w:p>
    <w:p>
      <w:pPr>
        <w:spacing w:line="360" w:lineRule="auto"/>
        <w:ind w:firstLine="480" w:firstLineChars="200"/>
        <w:rPr>
          <w:rFonts w:ascii="仿宋" w:hAnsi="仿宋"/>
        </w:rPr>
      </w:pPr>
    </w:p>
    <w:p>
      <w:pPr>
        <w:pStyle w:val="3"/>
        <w:rPr>
          <w:rFonts w:ascii="仿宋" w:hAnsi="仿宋"/>
          <w:sz w:val="24"/>
          <w:szCs w:val="24"/>
        </w:rPr>
      </w:pPr>
      <w:bookmarkStart w:id="262" w:name="_Toc403654026"/>
      <w:bookmarkStart w:id="263" w:name="_Toc403829826"/>
      <w:bookmarkStart w:id="264" w:name="_Toc410115154"/>
      <w:bookmarkStart w:id="265" w:name="_Toc3896766"/>
      <w:r>
        <w:rPr>
          <w:rFonts w:hint="eastAsia" w:ascii="仿宋" w:hAnsi="仿宋"/>
          <w:sz w:val="24"/>
          <w:szCs w:val="24"/>
        </w:rPr>
        <w:t>五、关于年度报告</w:t>
      </w:r>
      <w:bookmarkEnd w:id="262"/>
      <w:bookmarkEnd w:id="263"/>
      <w:bookmarkEnd w:id="264"/>
      <w:bookmarkEnd w:id="265"/>
    </w:p>
    <w:p>
      <w:pPr>
        <w:spacing w:line="360" w:lineRule="auto"/>
        <w:ind w:firstLine="480" w:firstLineChars="200"/>
        <w:rPr>
          <w:rFonts w:ascii="仿宋" w:hAnsi="仿宋"/>
        </w:rPr>
      </w:pPr>
      <w:r>
        <w:rPr>
          <w:rFonts w:hint="eastAsia" w:ascii="仿宋" w:hAnsi="仿宋"/>
        </w:rPr>
        <w:t>《期货公司年度报告内容与格式准则》</w:t>
      </w:r>
    </w:p>
    <w:p>
      <w:pPr>
        <w:spacing w:line="360" w:lineRule="auto"/>
        <w:ind w:firstLine="480" w:firstLineChars="200"/>
        <w:rPr>
          <w:rFonts w:ascii="仿宋" w:hAnsi="仿宋"/>
        </w:rPr>
      </w:pPr>
      <w:r>
        <w:rPr>
          <w:rFonts w:hint="eastAsia" w:ascii="仿宋" w:hAnsi="仿宋"/>
        </w:rPr>
        <w:t>掌握期货公司年度报告的审计要求及报送时间要求；掌握期货公司年度报告公开披露信息的规定；熟悉期货公司董事会及董事对编制期货公司年度报告的相关责任。</w:t>
      </w:r>
    </w:p>
    <w:p>
      <w:pPr>
        <w:pStyle w:val="4"/>
        <w:spacing w:before="0" w:after="0" w:line="360" w:lineRule="auto"/>
        <w:rPr>
          <w:rFonts w:ascii="仿宋" w:hAnsi="仿宋"/>
          <w:szCs w:val="24"/>
        </w:rPr>
      </w:pPr>
      <w:bookmarkStart w:id="266" w:name="_Toc403654027"/>
      <w:bookmarkStart w:id="267" w:name="_Toc403829827"/>
      <w:bookmarkStart w:id="268" w:name="_Toc410115155"/>
      <w:bookmarkStart w:id="269" w:name="_Toc3896767"/>
      <w:r>
        <w:rPr>
          <w:rFonts w:hint="eastAsia" w:ascii="仿宋" w:hAnsi="仿宋"/>
          <w:kern w:val="0"/>
          <w:szCs w:val="24"/>
        </w:rPr>
        <w:t>（一）</w:t>
      </w:r>
      <w:r>
        <w:rPr>
          <w:rFonts w:hint="eastAsia" w:ascii="仿宋" w:hAnsi="仿宋"/>
          <w:szCs w:val="24"/>
        </w:rPr>
        <w:t>期货公司年度报告的审计要求及报送时间要求</w:t>
      </w:r>
      <w:bookmarkEnd w:id="266"/>
      <w:bookmarkEnd w:id="267"/>
      <w:bookmarkEnd w:id="268"/>
      <w:bookmarkEnd w:id="269"/>
    </w:p>
    <w:p>
      <w:pPr>
        <w:spacing w:line="360" w:lineRule="auto"/>
        <w:ind w:firstLine="480" w:firstLineChars="200"/>
        <w:rPr>
          <w:rFonts w:ascii="仿宋" w:hAnsi="仿宋"/>
        </w:rPr>
      </w:pPr>
      <w:r>
        <w:rPr>
          <w:rFonts w:hint="eastAsia" w:ascii="仿宋" w:hAnsi="仿宋"/>
        </w:rPr>
        <w:t>依据</w:t>
      </w:r>
      <w:r>
        <w:rPr>
          <w:rFonts w:ascii="仿宋" w:hAnsi="仿宋"/>
        </w:rPr>
        <w:t>:</w:t>
      </w:r>
      <w:r>
        <w:rPr>
          <w:rFonts w:hint="eastAsia" w:ascii="仿宋" w:hAnsi="仿宋"/>
        </w:rPr>
        <w:t xml:space="preserve"> </w:t>
      </w:r>
    </w:p>
    <w:p>
      <w:pPr>
        <w:spacing w:line="360" w:lineRule="auto"/>
        <w:ind w:firstLine="480" w:firstLineChars="200"/>
        <w:rPr>
          <w:rFonts w:ascii="仿宋" w:hAnsi="仿宋"/>
        </w:rPr>
      </w:pPr>
      <w:r>
        <w:rPr>
          <w:rFonts w:hint="eastAsia" w:ascii="仿宋" w:hAnsi="仿宋"/>
        </w:rPr>
        <w:t>《期货公司年度报告内容与格式准则》第5条、第6条、第8条、第10条。</w:t>
      </w:r>
    </w:p>
    <w:p>
      <w:pPr>
        <w:spacing w:line="360" w:lineRule="auto"/>
        <w:ind w:firstLine="480" w:firstLineChars="200"/>
        <w:rPr>
          <w:rFonts w:ascii="仿宋" w:hAnsi="仿宋"/>
        </w:rPr>
      </w:pPr>
      <w:r>
        <w:rPr>
          <w:rFonts w:hint="eastAsia" w:ascii="仿宋" w:hAnsi="仿宋"/>
        </w:rPr>
        <w:t>《期货公司年度报告内容与格式准则》第5条 公司年度报告中的财务会计报告必须经具有证券期货相关业务资格的会计师事务所审计，审计报告须由上述事务所盖章，并由该所两名或两名以上注册会计师签字盖章。</w:t>
      </w:r>
    </w:p>
    <w:p>
      <w:pPr>
        <w:spacing w:line="360" w:lineRule="auto"/>
        <w:ind w:firstLine="480" w:firstLineChars="200"/>
        <w:rPr>
          <w:rFonts w:ascii="仿宋" w:hAnsi="仿宋"/>
        </w:rPr>
      </w:pPr>
      <w:r>
        <w:rPr>
          <w:rFonts w:hint="eastAsia" w:ascii="仿宋" w:hAnsi="仿宋"/>
        </w:rPr>
        <w:t>《期货公司年度报告内容与格式准则》第6条 公司必须在年度报告正文中全文转载注册会计师的审计意见，不得随意修改或删节会计师事务所和注册会计师已签发意见的财务会计资料（包括财务会计报表和财务会计报表附注）。</w:t>
      </w:r>
    </w:p>
    <w:p>
      <w:pPr>
        <w:spacing w:line="360" w:lineRule="auto"/>
        <w:ind w:firstLine="480" w:firstLineChars="200"/>
        <w:rPr>
          <w:rFonts w:ascii="仿宋" w:hAnsi="仿宋"/>
        </w:rPr>
      </w:pPr>
      <w:r>
        <w:rPr>
          <w:rFonts w:hint="eastAsia" w:ascii="仿宋" w:hAnsi="仿宋"/>
        </w:rPr>
        <w:t>《期货公司年度报告内容与格式准则》第8条 担任公司年度财务报表审计的会计师事务所应对与财务报表相关的公司内部控制进行测试和评价，出具内部控制评价报告。报告应对公司内部控制的完整性、合理性和有效性进行客观评价，并提出相应的改进建议，对公司内部控制是否存在重大缺陷应有明确的评价意见。</w:t>
      </w:r>
    </w:p>
    <w:p>
      <w:pPr>
        <w:spacing w:line="360" w:lineRule="auto"/>
        <w:ind w:firstLine="480" w:firstLineChars="200"/>
        <w:rPr>
          <w:rFonts w:ascii="仿宋" w:hAnsi="仿宋"/>
        </w:rPr>
      </w:pPr>
      <w:r>
        <w:rPr>
          <w:rFonts w:hint="eastAsia" w:ascii="仿宋" w:hAnsi="仿宋"/>
        </w:rPr>
        <w:t>《期货公司年度报告内容与格式准则》第10条 年度报告全文按本准则第二章的要求编制，公司应当在每个会计年度结束后3个月内，将年度报告、审计报告和内部控制评价报告全文以电子文档格式报送至证监会会计部和期货部，并将上述报告的正式书面文本于会计年度结束后3个月内报送中国证监会会计部。</w:t>
      </w:r>
    </w:p>
    <w:p>
      <w:pPr>
        <w:spacing w:line="360" w:lineRule="auto"/>
        <w:ind w:firstLine="480" w:firstLineChars="200"/>
        <w:rPr>
          <w:rFonts w:ascii="仿宋" w:hAnsi="仿宋"/>
        </w:rPr>
      </w:pPr>
      <w:r>
        <w:rPr>
          <w:rFonts w:hint="eastAsia" w:ascii="仿宋" w:hAnsi="仿宋"/>
        </w:rPr>
        <w:t>如有致中国证监会的函件，则应按照前款要求的时间和方式分别将电子文档和书面文本报送中国证监会会计部和期货部。</w:t>
      </w:r>
    </w:p>
    <w:p>
      <w:pPr>
        <w:spacing w:line="360" w:lineRule="auto"/>
        <w:ind w:firstLine="480" w:firstLineChars="200"/>
        <w:rPr>
          <w:rFonts w:ascii="仿宋" w:hAnsi="仿宋"/>
        </w:rPr>
      </w:pPr>
      <w:r>
        <w:rPr>
          <w:rFonts w:hint="eastAsia" w:ascii="仿宋" w:hAnsi="仿宋"/>
        </w:rPr>
        <w:t>公司还应将年度报告、审计报告和内控报告的书面文本按照上述日期要求报送至公司注册地证监会派出机构。</w:t>
      </w:r>
    </w:p>
    <w:p>
      <w:pPr>
        <w:spacing w:line="360" w:lineRule="auto"/>
        <w:ind w:firstLine="480" w:firstLineChars="200"/>
        <w:rPr>
          <w:rFonts w:ascii="仿宋" w:hAnsi="仿宋"/>
        </w:rPr>
      </w:pPr>
    </w:p>
    <w:p>
      <w:pPr>
        <w:pStyle w:val="4"/>
        <w:spacing w:before="0" w:after="0" w:line="360" w:lineRule="auto"/>
        <w:rPr>
          <w:rFonts w:ascii="仿宋" w:hAnsi="仿宋"/>
          <w:szCs w:val="24"/>
        </w:rPr>
      </w:pPr>
      <w:bookmarkStart w:id="270" w:name="_Toc403654028"/>
      <w:bookmarkStart w:id="271" w:name="_Toc403829828"/>
      <w:bookmarkStart w:id="272" w:name="_Toc410115156"/>
      <w:bookmarkStart w:id="273" w:name="_Toc3896768"/>
      <w:r>
        <w:rPr>
          <w:rFonts w:hint="eastAsia" w:ascii="仿宋" w:hAnsi="仿宋"/>
          <w:kern w:val="0"/>
          <w:szCs w:val="24"/>
        </w:rPr>
        <w:t>（二）</w:t>
      </w:r>
      <w:r>
        <w:rPr>
          <w:rFonts w:hint="eastAsia" w:ascii="仿宋" w:hAnsi="仿宋"/>
          <w:szCs w:val="24"/>
        </w:rPr>
        <w:t>期货公司年度报告、月度报告签署确认的规定</w:t>
      </w:r>
      <w:bookmarkEnd w:id="270"/>
      <w:bookmarkEnd w:id="271"/>
      <w:bookmarkEnd w:id="272"/>
      <w:bookmarkEnd w:id="273"/>
    </w:p>
    <w:p>
      <w:pPr>
        <w:spacing w:line="360" w:lineRule="auto"/>
        <w:ind w:firstLine="480" w:firstLineChars="200"/>
        <w:rPr>
          <w:rFonts w:ascii="仿宋" w:hAnsi="仿宋"/>
        </w:rPr>
      </w:pPr>
      <w:r>
        <w:rPr>
          <w:rFonts w:hint="eastAsia" w:ascii="仿宋" w:hAnsi="仿宋"/>
        </w:rPr>
        <w:t>依据</w:t>
      </w:r>
      <w:r>
        <w:rPr>
          <w:rFonts w:ascii="仿宋" w:hAnsi="仿宋"/>
        </w:rPr>
        <w:t>:</w:t>
      </w:r>
    </w:p>
    <w:p>
      <w:pPr>
        <w:spacing w:line="360" w:lineRule="auto"/>
        <w:ind w:firstLine="480" w:firstLineChars="200"/>
        <w:rPr>
          <w:rFonts w:ascii="仿宋" w:hAnsi="仿宋"/>
        </w:rPr>
      </w:pPr>
      <w:r>
        <w:rPr>
          <w:rFonts w:hint="eastAsia" w:ascii="仿宋" w:hAnsi="仿宋"/>
        </w:rPr>
        <w:t>《期货公司监督管理办法》第77条 期货公司应当按照规定报送年度报告、月度报告等资料。</w:t>
      </w:r>
    </w:p>
    <w:p>
      <w:pPr>
        <w:spacing w:line="360" w:lineRule="auto"/>
        <w:ind w:firstLine="480" w:firstLineChars="200"/>
        <w:rPr>
          <w:rFonts w:ascii="仿宋" w:hAnsi="仿宋"/>
        </w:rPr>
      </w:pPr>
      <w:r>
        <w:rPr>
          <w:rFonts w:hint="eastAsia" w:ascii="仿宋" w:hAnsi="仿宋"/>
        </w:rPr>
        <w:t>期货公司法定代表人、经营管理主要负责人、首席风险官、财务负责人应当对年度报告和月度报告签署确认意见；监事会或监事应对年度报告进行审核并提出书面审核意见；期货公司董事应当对年度报告签署确认意见。</w:t>
      </w:r>
    </w:p>
    <w:p>
      <w:pPr>
        <w:spacing w:line="360" w:lineRule="auto"/>
        <w:ind w:firstLine="480" w:firstLineChars="200"/>
        <w:rPr>
          <w:rFonts w:ascii="仿宋" w:hAnsi="仿宋"/>
        </w:rPr>
      </w:pPr>
      <w:r>
        <w:rPr>
          <w:rFonts w:hint="eastAsia" w:ascii="仿宋" w:hAnsi="仿宋"/>
        </w:rPr>
        <w:t>期货公司年度报告、月度报告签字人员应当保证报告内容真实、准确、完整；对报告内容有异议的，应当注明意见和理由。</w:t>
      </w:r>
    </w:p>
    <w:p>
      <w:pPr>
        <w:spacing w:line="360" w:lineRule="auto"/>
        <w:ind w:firstLine="480" w:firstLineChars="200"/>
        <w:rPr>
          <w:rFonts w:ascii="仿宋" w:hAnsi="仿宋"/>
        </w:rPr>
      </w:pPr>
      <w:r>
        <w:rPr>
          <w:rFonts w:hint="eastAsia" w:ascii="仿宋" w:hAnsi="仿宋"/>
        </w:rPr>
        <w:t>《期货公司年度报告内容与格式准则》第2条 凡根据《公司法》、《管理办法》规定经批准设立的从事期货业务的有限责任公司或股份有限公司应当按照本准则的要求编制和披露年度报告。</w:t>
      </w:r>
    </w:p>
    <w:p>
      <w:pPr>
        <w:spacing w:line="360" w:lineRule="auto"/>
        <w:ind w:firstLine="480" w:firstLineChars="200"/>
        <w:rPr>
          <w:rFonts w:ascii="仿宋" w:hAnsi="仿宋"/>
        </w:rPr>
      </w:pPr>
    </w:p>
    <w:p>
      <w:pPr>
        <w:pStyle w:val="4"/>
        <w:spacing w:before="0" w:after="0" w:line="360" w:lineRule="auto"/>
        <w:rPr>
          <w:rFonts w:ascii="仿宋" w:hAnsi="仿宋"/>
          <w:szCs w:val="24"/>
        </w:rPr>
      </w:pPr>
      <w:bookmarkStart w:id="274" w:name="_Toc403654029"/>
      <w:bookmarkStart w:id="275" w:name="_Toc403829829"/>
      <w:bookmarkStart w:id="276" w:name="_Toc410115157"/>
      <w:bookmarkStart w:id="277" w:name="_Toc3896769"/>
      <w:r>
        <w:rPr>
          <w:rFonts w:hint="eastAsia" w:ascii="仿宋" w:hAnsi="仿宋"/>
          <w:kern w:val="0"/>
          <w:szCs w:val="24"/>
        </w:rPr>
        <w:t>（三）</w:t>
      </w:r>
      <w:r>
        <w:rPr>
          <w:rFonts w:hint="eastAsia" w:ascii="仿宋" w:hAnsi="仿宋"/>
          <w:szCs w:val="24"/>
        </w:rPr>
        <w:t>期货公司董事会及董事对编制期货公司年度报告的相关责任</w:t>
      </w:r>
      <w:bookmarkEnd w:id="274"/>
      <w:bookmarkEnd w:id="275"/>
      <w:bookmarkEnd w:id="276"/>
      <w:bookmarkEnd w:id="277"/>
    </w:p>
    <w:p>
      <w:pPr>
        <w:spacing w:line="360" w:lineRule="auto"/>
        <w:ind w:firstLine="480" w:firstLineChars="200"/>
        <w:rPr>
          <w:rFonts w:ascii="仿宋" w:hAnsi="仿宋"/>
        </w:rPr>
      </w:pPr>
      <w:r>
        <w:rPr>
          <w:rFonts w:hint="eastAsia" w:ascii="仿宋" w:hAnsi="仿宋"/>
        </w:rPr>
        <w:t>依据</w:t>
      </w:r>
      <w:r>
        <w:rPr>
          <w:rFonts w:ascii="仿宋" w:hAnsi="仿宋"/>
        </w:rPr>
        <w:t>:</w:t>
      </w:r>
    </w:p>
    <w:p>
      <w:pPr>
        <w:spacing w:line="360" w:lineRule="auto"/>
        <w:ind w:firstLine="480" w:firstLineChars="200"/>
        <w:rPr>
          <w:rFonts w:ascii="仿宋" w:hAnsi="仿宋"/>
        </w:rPr>
      </w:pPr>
      <w:r>
        <w:rPr>
          <w:rFonts w:hint="eastAsia" w:ascii="仿宋" w:hAnsi="仿宋"/>
        </w:rPr>
        <w:t>《期货公司年度报告内容与格式准则》第11条公司董事会负责年度报告的编制和报送工作，应指定专人负责，年报的编制需要各相关部门参与。公司董事会及其董事应当保证年度报告及摘要内容的真实性、准确性和完整性，承诺其中不存在虚假记载、误导性陈述或重大遗漏，并就其保证承担个别及连带的法律责任。如个别董事对年度报告内容的真实性、准确性、完整性无法保证或存在异议的，应当在年报中单独陈述理由和发表意见。未参会董事应当单独列示其姓名。</w:t>
      </w:r>
    </w:p>
    <w:p>
      <w:pPr>
        <w:pStyle w:val="3"/>
        <w:rPr>
          <w:rFonts w:ascii="仿宋" w:hAnsi="仿宋"/>
          <w:sz w:val="24"/>
          <w:szCs w:val="24"/>
        </w:rPr>
      </w:pPr>
      <w:bookmarkStart w:id="278" w:name="_Toc403654030"/>
      <w:bookmarkStart w:id="279" w:name="_Toc403829830"/>
      <w:bookmarkStart w:id="280" w:name="_Toc410115158"/>
      <w:bookmarkStart w:id="281" w:name="_Toc3896770"/>
      <w:r>
        <w:rPr>
          <w:rFonts w:hint="eastAsia" w:ascii="仿宋" w:hAnsi="仿宋"/>
          <w:sz w:val="24"/>
          <w:szCs w:val="24"/>
        </w:rPr>
        <w:t>六、关于信息披露</w:t>
      </w:r>
      <w:bookmarkEnd w:id="278"/>
      <w:bookmarkEnd w:id="279"/>
      <w:bookmarkEnd w:id="280"/>
      <w:bookmarkEnd w:id="281"/>
    </w:p>
    <w:p>
      <w:pPr>
        <w:spacing w:line="360" w:lineRule="auto"/>
        <w:ind w:firstLine="480" w:firstLineChars="200"/>
        <w:rPr>
          <w:rFonts w:ascii="仿宋" w:hAnsi="仿宋"/>
          <w:b/>
        </w:rPr>
      </w:pPr>
      <w:r>
        <w:rPr>
          <w:rFonts w:hint="eastAsia" w:ascii="仿宋" w:hAnsi="仿宋"/>
        </w:rPr>
        <w:t>熟悉期货公司对外信息披露的有关规定；熟悉期货公司或其股东、实际控制人、董事、监事及高级管理人员等发生或出现特定情况时需要报告、通知或公告的规定。</w:t>
      </w:r>
    </w:p>
    <w:p>
      <w:pPr>
        <w:pStyle w:val="4"/>
        <w:spacing w:before="0" w:after="0" w:line="360" w:lineRule="auto"/>
        <w:ind w:firstLine="482" w:firstLineChars="200"/>
        <w:rPr>
          <w:rFonts w:ascii="仿宋" w:hAnsi="仿宋"/>
          <w:szCs w:val="24"/>
        </w:rPr>
      </w:pPr>
      <w:bookmarkStart w:id="282" w:name="_Toc403654031"/>
      <w:bookmarkStart w:id="283" w:name="_Toc403829831"/>
      <w:bookmarkStart w:id="284" w:name="_Toc410115159"/>
      <w:bookmarkStart w:id="285" w:name="_Toc3896771"/>
      <w:r>
        <w:rPr>
          <w:rFonts w:hint="eastAsia" w:ascii="仿宋" w:hAnsi="仿宋"/>
          <w:kern w:val="0"/>
          <w:szCs w:val="24"/>
        </w:rPr>
        <w:t>（一）</w:t>
      </w:r>
      <w:r>
        <w:rPr>
          <w:rFonts w:hint="eastAsia" w:ascii="仿宋" w:hAnsi="仿宋"/>
          <w:szCs w:val="24"/>
        </w:rPr>
        <w:t>持有期货公司5%以上股权的股东、实际控制人或者其他关联人出现特定情形时的报告义务</w:t>
      </w:r>
      <w:bookmarkEnd w:id="282"/>
      <w:bookmarkEnd w:id="283"/>
      <w:bookmarkEnd w:id="284"/>
      <w:bookmarkEnd w:id="285"/>
      <w:r>
        <w:rPr>
          <w:rFonts w:hint="eastAsia" w:ascii="仿宋" w:hAnsi="仿宋"/>
          <w:szCs w:val="24"/>
        </w:rPr>
        <w:tab/>
      </w:r>
    </w:p>
    <w:p>
      <w:pPr>
        <w:spacing w:line="360" w:lineRule="auto"/>
        <w:ind w:firstLine="480" w:firstLineChars="200"/>
        <w:rPr>
          <w:rFonts w:ascii="仿宋" w:hAnsi="仿宋"/>
        </w:rPr>
      </w:pPr>
      <w:r>
        <w:rPr>
          <w:rFonts w:hint="eastAsia" w:ascii="仿宋" w:hAnsi="仿宋"/>
        </w:rPr>
        <w:t>依据</w:t>
      </w:r>
      <w:r>
        <w:rPr>
          <w:rFonts w:ascii="仿宋" w:hAnsi="仿宋"/>
        </w:rPr>
        <w:t>:</w:t>
      </w:r>
    </w:p>
    <w:p>
      <w:pPr>
        <w:spacing w:line="360" w:lineRule="auto"/>
        <w:ind w:firstLine="480" w:firstLineChars="200"/>
        <w:rPr>
          <w:rFonts w:ascii="仿宋" w:hAnsi="仿宋"/>
        </w:rPr>
      </w:pPr>
      <w:r>
        <w:rPr>
          <w:rFonts w:hint="eastAsia" w:ascii="仿宋" w:hAnsi="仿宋"/>
        </w:rPr>
        <w:t>《期货公司监督管理办法》第37条持有期货公司5%以上股权的股东或者实际控制人出现下列情形之一的，应当在3 个工作日内通知期货公司：</w:t>
      </w:r>
    </w:p>
    <w:p>
      <w:pPr>
        <w:spacing w:line="360" w:lineRule="auto"/>
        <w:ind w:firstLine="480" w:firstLineChars="200"/>
        <w:rPr>
          <w:rFonts w:ascii="仿宋" w:hAnsi="仿宋"/>
        </w:rPr>
      </w:pPr>
      <w:r>
        <w:rPr>
          <w:rFonts w:hint="eastAsia" w:ascii="仿宋" w:hAnsi="仿宋"/>
        </w:rPr>
        <w:t>（一）所持有的期货公司股权被冻结、查封或者被强制执行；</w:t>
      </w:r>
    </w:p>
    <w:p>
      <w:pPr>
        <w:spacing w:line="360" w:lineRule="auto"/>
        <w:ind w:firstLine="480" w:firstLineChars="200"/>
        <w:rPr>
          <w:rFonts w:ascii="仿宋" w:hAnsi="仿宋"/>
        </w:rPr>
      </w:pPr>
      <w:r>
        <w:rPr>
          <w:rFonts w:hint="eastAsia" w:ascii="仿宋" w:hAnsi="仿宋"/>
        </w:rPr>
        <w:t>（二）质押所持有的期货公司股权；</w:t>
      </w:r>
    </w:p>
    <w:p>
      <w:pPr>
        <w:spacing w:line="360" w:lineRule="auto"/>
        <w:ind w:firstLine="480" w:firstLineChars="200"/>
        <w:rPr>
          <w:rFonts w:ascii="仿宋" w:hAnsi="仿宋"/>
        </w:rPr>
      </w:pPr>
      <w:r>
        <w:rPr>
          <w:rFonts w:hint="eastAsia" w:ascii="仿宋" w:hAnsi="仿宋"/>
        </w:rPr>
        <w:t>（三）决定转让所持有的期货公司股权；</w:t>
      </w:r>
    </w:p>
    <w:p>
      <w:pPr>
        <w:spacing w:line="360" w:lineRule="auto"/>
        <w:ind w:firstLine="480" w:firstLineChars="200"/>
        <w:rPr>
          <w:rFonts w:ascii="仿宋" w:hAnsi="仿宋"/>
        </w:rPr>
      </w:pPr>
      <w:r>
        <w:rPr>
          <w:rFonts w:hint="eastAsia" w:ascii="仿宋" w:hAnsi="仿宋"/>
        </w:rPr>
        <w:t>（四）不能正常行使股东权利或者承担股东义务，可能造成期货公司治理的重大缺陷；</w:t>
      </w:r>
    </w:p>
    <w:p>
      <w:pPr>
        <w:spacing w:line="360" w:lineRule="auto"/>
        <w:ind w:firstLine="480" w:firstLineChars="200"/>
        <w:rPr>
          <w:rFonts w:ascii="仿宋" w:hAnsi="仿宋"/>
        </w:rPr>
      </w:pPr>
      <w:r>
        <w:rPr>
          <w:rFonts w:hint="eastAsia" w:ascii="仿宋" w:hAnsi="仿宋"/>
        </w:rPr>
        <w:t>（五）涉嫌重大违法违规被有权机关调查或者采取强制措施；</w:t>
      </w:r>
    </w:p>
    <w:p>
      <w:pPr>
        <w:spacing w:line="360" w:lineRule="auto"/>
        <w:ind w:firstLine="480" w:firstLineChars="200"/>
        <w:rPr>
          <w:rFonts w:ascii="仿宋" w:hAnsi="仿宋"/>
        </w:rPr>
      </w:pPr>
      <w:r>
        <w:rPr>
          <w:rFonts w:hint="eastAsia" w:ascii="仿宋" w:hAnsi="仿宋"/>
        </w:rPr>
        <w:t>（六）因重大违法违规行为受到行政处罚或者刑事处罚；</w:t>
      </w:r>
    </w:p>
    <w:p>
      <w:pPr>
        <w:spacing w:line="360" w:lineRule="auto"/>
        <w:ind w:firstLine="480" w:firstLineChars="200"/>
        <w:rPr>
          <w:rFonts w:ascii="仿宋" w:hAnsi="仿宋"/>
        </w:rPr>
      </w:pPr>
      <w:r>
        <w:rPr>
          <w:rFonts w:hint="eastAsia" w:ascii="仿宋" w:hAnsi="仿宋"/>
        </w:rPr>
        <w:t>（七）变更名称；</w:t>
      </w:r>
    </w:p>
    <w:p>
      <w:pPr>
        <w:spacing w:line="360" w:lineRule="auto"/>
        <w:ind w:firstLine="480" w:firstLineChars="200"/>
        <w:rPr>
          <w:rFonts w:ascii="仿宋" w:hAnsi="仿宋"/>
        </w:rPr>
      </w:pPr>
      <w:r>
        <w:rPr>
          <w:rFonts w:hint="eastAsia" w:ascii="仿宋" w:hAnsi="仿宋"/>
        </w:rPr>
        <w:t>（八）合并、分立或者进行重大资产、债务重组；</w:t>
      </w:r>
    </w:p>
    <w:p>
      <w:pPr>
        <w:spacing w:line="360" w:lineRule="auto"/>
        <w:ind w:firstLine="480" w:firstLineChars="200"/>
        <w:rPr>
          <w:rFonts w:ascii="仿宋" w:hAnsi="仿宋"/>
        </w:rPr>
      </w:pPr>
      <w:r>
        <w:rPr>
          <w:rFonts w:hint="eastAsia" w:ascii="仿宋" w:hAnsi="仿宋"/>
        </w:rPr>
        <w:t>（九）被采取停业整顿、撤销、接管、托管等监管措施，或者进入解散、破产、关闭程序；</w:t>
      </w:r>
    </w:p>
    <w:p>
      <w:pPr>
        <w:spacing w:line="360" w:lineRule="auto"/>
        <w:ind w:firstLine="480" w:firstLineChars="200"/>
        <w:rPr>
          <w:rFonts w:ascii="仿宋" w:hAnsi="仿宋"/>
        </w:rPr>
      </w:pPr>
      <w:r>
        <w:rPr>
          <w:rFonts w:hint="eastAsia" w:ascii="仿宋" w:hAnsi="仿宋"/>
        </w:rPr>
        <w:t>（十）其他可能影响期货公司股权变更或者持续经营的情形。</w:t>
      </w:r>
    </w:p>
    <w:p>
      <w:pPr>
        <w:spacing w:line="360" w:lineRule="auto"/>
        <w:ind w:firstLine="480" w:firstLineChars="200"/>
        <w:rPr>
          <w:rFonts w:ascii="仿宋" w:hAnsi="仿宋"/>
        </w:rPr>
      </w:pPr>
      <w:r>
        <w:rPr>
          <w:rFonts w:hint="eastAsia" w:ascii="仿宋" w:hAnsi="仿宋"/>
        </w:rPr>
        <w:t>持有期货公司5%以上股权的股东发生前款规定情形的，期货公司应当自收到通知之日起3个工作日内向期货公司住所地中国证监会派出机构报告。</w:t>
      </w:r>
    </w:p>
    <w:p>
      <w:pPr>
        <w:spacing w:line="360" w:lineRule="auto"/>
        <w:ind w:firstLine="480" w:firstLineChars="200"/>
        <w:rPr>
          <w:rFonts w:ascii="仿宋" w:hAnsi="仿宋"/>
        </w:rPr>
      </w:pPr>
      <w:r>
        <w:rPr>
          <w:rFonts w:hint="eastAsia" w:ascii="仿宋" w:hAnsi="仿宋"/>
        </w:rPr>
        <w:t>期货公司实际控制人发生第一款第（五）项至第（九）项所列情形的，期货公司应当自收到通知之日起3 个工作日内向住所地中国证监会派出机构报告。</w:t>
      </w:r>
    </w:p>
    <w:p>
      <w:pPr>
        <w:spacing w:line="360" w:lineRule="auto"/>
        <w:ind w:firstLine="480" w:firstLineChars="200"/>
        <w:rPr>
          <w:rFonts w:ascii="仿宋" w:hAnsi="仿宋"/>
        </w:rPr>
      </w:pPr>
    </w:p>
    <w:p>
      <w:pPr>
        <w:spacing w:line="360" w:lineRule="auto"/>
        <w:ind w:firstLine="480" w:firstLineChars="200"/>
        <w:rPr>
          <w:rFonts w:ascii="仿宋" w:hAnsi="仿宋"/>
        </w:rPr>
      </w:pPr>
      <w:r>
        <w:rPr>
          <w:rFonts w:hint="eastAsia" w:ascii="仿宋" w:hAnsi="仿宋"/>
        </w:rPr>
        <w:t>《期货公司监督管理办法》第79条 持有期货公司5%以上股权的股东、实际控制人或者其他关联人在期货公司从事期货交易的，期货公司应当自开户之日起5 个工作日内向住所地中国证监会派出机构报告开户情况，并定期报告交易情况。</w:t>
      </w:r>
    </w:p>
    <w:p>
      <w:pPr>
        <w:spacing w:line="360" w:lineRule="auto"/>
        <w:ind w:firstLine="480" w:firstLineChars="200"/>
        <w:rPr>
          <w:rFonts w:ascii="仿宋" w:hAnsi="仿宋"/>
        </w:rPr>
      </w:pPr>
    </w:p>
    <w:p>
      <w:pPr>
        <w:pStyle w:val="4"/>
        <w:spacing w:before="0" w:after="0" w:line="360" w:lineRule="auto"/>
        <w:rPr>
          <w:rFonts w:ascii="仿宋" w:hAnsi="仿宋"/>
          <w:szCs w:val="24"/>
        </w:rPr>
      </w:pPr>
      <w:bookmarkStart w:id="286" w:name="_Toc403654032"/>
      <w:bookmarkStart w:id="287" w:name="_Toc403829832"/>
      <w:bookmarkStart w:id="288" w:name="_Toc410115160"/>
      <w:bookmarkStart w:id="289" w:name="_Toc3896772"/>
      <w:r>
        <w:rPr>
          <w:rFonts w:hint="eastAsia" w:ascii="仿宋" w:hAnsi="仿宋"/>
          <w:kern w:val="0"/>
          <w:szCs w:val="24"/>
        </w:rPr>
        <w:t>（二）</w:t>
      </w:r>
      <w:r>
        <w:rPr>
          <w:rFonts w:hint="eastAsia" w:ascii="仿宋" w:hAnsi="仿宋"/>
          <w:szCs w:val="24"/>
        </w:rPr>
        <w:t>期货公司或其董事、监事、高级管理人员出现特定情形时的报告义务</w:t>
      </w:r>
      <w:bookmarkEnd w:id="286"/>
      <w:bookmarkEnd w:id="287"/>
      <w:bookmarkEnd w:id="288"/>
      <w:bookmarkEnd w:id="289"/>
    </w:p>
    <w:p>
      <w:pPr>
        <w:spacing w:line="360" w:lineRule="auto"/>
        <w:ind w:firstLine="480" w:firstLineChars="200"/>
        <w:rPr>
          <w:rFonts w:ascii="仿宋" w:hAnsi="仿宋"/>
        </w:rPr>
      </w:pPr>
      <w:r>
        <w:rPr>
          <w:rFonts w:hint="eastAsia" w:ascii="仿宋" w:hAnsi="仿宋"/>
        </w:rPr>
        <w:t>依据</w:t>
      </w:r>
      <w:r>
        <w:rPr>
          <w:rFonts w:ascii="仿宋" w:hAnsi="仿宋"/>
        </w:rPr>
        <w:t>:</w:t>
      </w:r>
    </w:p>
    <w:p>
      <w:pPr>
        <w:spacing w:line="360" w:lineRule="auto"/>
        <w:ind w:firstLine="480" w:firstLineChars="200"/>
        <w:rPr>
          <w:rFonts w:ascii="仿宋" w:hAnsi="仿宋"/>
        </w:rPr>
      </w:pPr>
      <w:r>
        <w:rPr>
          <w:rFonts w:hint="eastAsia" w:ascii="仿宋" w:hAnsi="仿宋"/>
        </w:rPr>
        <w:t>《期货公司监督管理办法》第38条 期货公司有下列情形之一的，应当立即书面通知全体股东或进行公告，并向住所地中国证监会派出机构报告：</w:t>
      </w:r>
    </w:p>
    <w:p>
      <w:pPr>
        <w:spacing w:line="360" w:lineRule="auto"/>
        <w:ind w:firstLine="480" w:firstLineChars="200"/>
        <w:rPr>
          <w:rFonts w:ascii="仿宋" w:hAnsi="仿宋"/>
        </w:rPr>
      </w:pPr>
      <w:r>
        <w:rPr>
          <w:rFonts w:hint="eastAsia" w:ascii="仿宋" w:hAnsi="仿宋"/>
        </w:rPr>
        <w:t>（一）公司或者其董事、监事、高级管理人员因涉嫌违法违规被有权机关立案调查或者采取强制措施；</w:t>
      </w:r>
    </w:p>
    <w:p>
      <w:pPr>
        <w:spacing w:line="360" w:lineRule="auto"/>
        <w:ind w:firstLine="480" w:firstLineChars="200"/>
        <w:rPr>
          <w:rFonts w:ascii="仿宋" w:hAnsi="仿宋"/>
        </w:rPr>
      </w:pPr>
      <w:r>
        <w:rPr>
          <w:rFonts w:hint="eastAsia" w:ascii="仿宋" w:hAnsi="仿宋"/>
        </w:rPr>
        <w:t>（二）公司或者其董事、监事、高级管理人员因违法违规行为受到行政处罚或者刑事处罚；</w:t>
      </w:r>
    </w:p>
    <w:p>
      <w:pPr>
        <w:spacing w:line="360" w:lineRule="auto"/>
        <w:ind w:firstLine="480" w:firstLineChars="200"/>
        <w:rPr>
          <w:rFonts w:ascii="仿宋" w:hAnsi="仿宋"/>
        </w:rPr>
      </w:pPr>
      <w:r>
        <w:rPr>
          <w:rFonts w:hint="eastAsia" w:ascii="仿宋" w:hAnsi="仿宋"/>
        </w:rPr>
        <w:t>（三）风险监管指标不符合规定标准；</w:t>
      </w:r>
    </w:p>
    <w:p>
      <w:pPr>
        <w:spacing w:line="360" w:lineRule="auto"/>
        <w:ind w:firstLine="480" w:firstLineChars="200"/>
        <w:rPr>
          <w:rFonts w:ascii="仿宋" w:hAnsi="仿宋"/>
        </w:rPr>
      </w:pPr>
      <w:r>
        <w:rPr>
          <w:rFonts w:hint="eastAsia" w:ascii="仿宋" w:hAnsi="仿宋"/>
        </w:rPr>
        <w:t>（四）客户发生重大透支、穿仓，可能影响期货公司持续经营；</w:t>
      </w:r>
    </w:p>
    <w:p>
      <w:pPr>
        <w:spacing w:line="360" w:lineRule="auto"/>
        <w:ind w:firstLine="480" w:firstLineChars="200"/>
        <w:rPr>
          <w:rFonts w:ascii="仿宋" w:hAnsi="仿宋"/>
        </w:rPr>
      </w:pPr>
      <w:r>
        <w:rPr>
          <w:rFonts w:hint="eastAsia" w:ascii="仿宋" w:hAnsi="仿宋"/>
        </w:rPr>
        <w:t>（五）发生突发事件，对期货公司或者客户利益产生或者可能产生重大不利影响；</w:t>
      </w:r>
    </w:p>
    <w:p>
      <w:pPr>
        <w:spacing w:line="360" w:lineRule="auto"/>
        <w:ind w:firstLine="480" w:firstLineChars="200"/>
        <w:rPr>
          <w:rFonts w:ascii="仿宋" w:hAnsi="仿宋"/>
        </w:rPr>
      </w:pPr>
      <w:r>
        <w:rPr>
          <w:rFonts w:hint="eastAsia" w:ascii="仿宋" w:hAnsi="仿宋"/>
        </w:rPr>
        <w:t>（六）其他可能影响期货公司持续经营的情形。</w:t>
      </w:r>
    </w:p>
    <w:p>
      <w:pPr>
        <w:spacing w:line="360" w:lineRule="auto"/>
        <w:ind w:firstLine="480" w:firstLineChars="200"/>
        <w:rPr>
          <w:rFonts w:ascii="仿宋" w:hAnsi="仿宋"/>
        </w:rPr>
      </w:pPr>
      <w:r>
        <w:rPr>
          <w:rFonts w:hint="eastAsia" w:ascii="仿宋" w:hAnsi="仿宋"/>
        </w:rPr>
        <w:t>中国证监会及其派出机构对期货公司及其分支机构采取《期货交易管理条例》第五十六条第二款、第四款或者第五十七条规定的监管措施或者作出行政处罚，期货公司应当书面通知全体股东或进行公告。</w:t>
      </w:r>
    </w:p>
    <w:p>
      <w:pPr>
        <w:spacing w:line="360" w:lineRule="auto"/>
        <w:ind w:firstLine="480" w:firstLineChars="200"/>
        <w:rPr>
          <w:rFonts w:ascii="仿宋" w:hAnsi="仿宋"/>
        </w:rPr>
      </w:pPr>
      <w:r>
        <w:rPr>
          <w:rFonts w:hint="eastAsia" w:ascii="仿宋" w:hAnsi="仿宋"/>
        </w:rPr>
        <w:t>《期货公司监督管理办法》第80条 发生下列事项之一的，期货公司应当在5 个工作日内向住所地中国证监会派出机构书面报告：</w:t>
      </w:r>
    </w:p>
    <w:p>
      <w:pPr>
        <w:spacing w:line="360" w:lineRule="auto"/>
        <w:ind w:firstLine="480" w:firstLineChars="200"/>
        <w:rPr>
          <w:rFonts w:ascii="仿宋" w:hAnsi="仿宋"/>
        </w:rPr>
      </w:pPr>
      <w:r>
        <w:rPr>
          <w:rFonts w:hint="eastAsia" w:ascii="仿宋" w:hAnsi="仿宋"/>
        </w:rPr>
        <w:t>（一）变更公司名称、形式、章程；</w:t>
      </w:r>
    </w:p>
    <w:p>
      <w:pPr>
        <w:spacing w:line="360" w:lineRule="auto"/>
        <w:ind w:firstLine="480" w:firstLineChars="200"/>
        <w:rPr>
          <w:rFonts w:ascii="仿宋" w:hAnsi="仿宋"/>
        </w:rPr>
      </w:pPr>
      <w:r>
        <w:rPr>
          <w:rFonts w:hint="eastAsia" w:ascii="仿宋" w:hAnsi="仿宋"/>
        </w:rPr>
        <w:t>（二）发生本办法第十七条规定情形以外的股权或者注册资本变更；</w:t>
      </w:r>
    </w:p>
    <w:p>
      <w:pPr>
        <w:spacing w:line="360" w:lineRule="auto"/>
        <w:ind w:firstLine="480" w:firstLineChars="200"/>
        <w:rPr>
          <w:rFonts w:ascii="仿宋" w:hAnsi="仿宋"/>
        </w:rPr>
      </w:pPr>
      <w:r>
        <w:rPr>
          <w:rFonts w:hint="eastAsia" w:ascii="仿宋" w:hAnsi="仿宋"/>
        </w:rPr>
        <w:t>（三）变更分支机构负责人或者营业场所；</w:t>
      </w:r>
    </w:p>
    <w:p>
      <w:pPr>
        <w:spacing w:line="360" w:lineRule="auto"/>
        <w:ind w:firstLine="480" w:firstLineChars="200"/>
        <w:rPr>
          <w:rFonts w:ascii="仿宋" w:hAnsi="仿宋"/>
        </w:rPr>
      </w:pPr>
      <w:r>
        <w:rPr>
          <w:rFonts w:hint="eastAsia" w:ascii="仿宋" w:hAnsi="仿宋"/>
        </w:rPr>
        <w:t>（四）作出终止业务等重大决议；</w:t>
      </w:r>
    </w:p>
    <w:p>
      <w:pPr>
        <w:spacing w:line="360" w:lineRule="auto"/>
        <w:ind w:firstLine="480" w:firstLineChars="200"/>
        <w:rPr>
          <w:rFonts w:ascii="仿宋" w:hAnsi="仿宋"/>
        </w:rPr>
      </w:pPr>
      <w:r>
        <w:rPr>
          <w:rFonts w:hint="eastAsia" w:ascii="仿宋" w:hAnsi="仿宋"/>
        </w:rPr>
        <w:t>（五）被有权机关立案调查或者采取强制措施；</w:t>
      </w:r>
    </w:p>
    <w:p>
      <w:pPr>
        <w:spacing w:line="360" w:lineRule="auto"/>
        <w:ind w:firstLine="480" w:firstLineChars="200"/>
        <w:rPr>
          <w:rFonts w:ascii="仿宋" w:hAnsi="仿宋"/>
        </w:rPr>
      </w:pPr>
      <w:r>
        <w:rPr>
          <w:rFonts w:hint="eastAsia" w:ascii="仿宋" w:hAnsi="仿宋"/>
        </w:rPr>
        <w:t>（六）发生影响或者可能影响期货公司经营管理、财务状况或者客户资产安全等重大事件；</w:t>
      </w:r>
    </w:p>
    <w:p>
      <w:pPr>
        <w:spacing w:line="360" w:lineRule="auto"/>
        <w:ind w:firstLine="480" w:firstLineChars="200"/>
        <w:rPr>
          <w:rFonts w:ascii="仿宋" w:hAnsi="仿宋"/>
        </w:rPr>
      </w:pPr>
      <w:r>
        <w:rPr>
          <w:rFonts w:hint="eastAsia" w:ascii="仿宋" w:hAnsi="仿宋"/>
        </w:rPr>
        <w:t>（七）中国证监会规定的其他事项。</w:t>
      </w:r>
    </w:p>
    <w:p>
      <w:pPr>
        <w:spacing w:line="360" w:lineRule="auto"/>
        <w:ind w:firstLine="480" w:firstLineChars="200"/>
        <w:rPr>
          <w:rFonts w:ascii="仿宋" w:hAnsi="仿宋"/>
        </w:rPr>
      </w:pPr>
      <w:r>
        <w:rPr>
          <w:rFonts w:hint="eastAsia" w:ascii="仿宋" w:hAnsi="仿宋"/>
        </w:rPr>
        <w:t>上述事项涉及期货公司分支机构的，期货公司应当同时向分支机构住所地中国证监会派出机构书面报告。</w:t>
      </w:r>
    </w:p>
    <w:p>
      <w:pPr>
        <w:spacing w:line="360" w:lineRule="auto"/>
        <w:ind w:firstLine="480" w:firstLineChars="200"/>
        <w:rPr>
          <w:rFonts w:ascii="仿宋" w:hAnsi="仿宋"/>
        </w:rPr>
      </w:pPr>
      <w:r>
        <w:rPr>
          <w:rFonts w:hint="eastAsia" w:ascii="仿宋" w:hAnsi="仿宋"/>
        </w:rPr>
        <w:t>《期货公司监督管理办法》第81条 期货公司聘请或者解聘会计师事务所的，应当自作出决定之日起5 个工作日内向住所地中国证监会派出机构报告；解聘会计师事务所的，应当说明理由。</w:t>
      </w:r>
    </w:p>
    <w:p>
      <w:pPr>
        <w:spacing w:line="360" w:lineRule="auto"/>
        <w:ind w:firstLine="480" w:firstLineChars="200"/>
        <w:rPr>
          <w:rFonts w:ascii="仿宋" w:hAnsi="仿宋"/>
        </w:rPr>
      </w:pPr>
      <w:r>
        <w:rPr>
          <w:rFonts w:hint="eastAsia" w:ascii="仿宋" w:hAnsi="仿宋"/>
        </w:rPr>
        <w:t>《期货公司监督管理办法》第41条 首席风险官发现涉嫌占用、挪用客户保证金等违法违规行为或者可能发生风险的，应当立即向住所地中国证监会派出机构和公司董事会报告。</w:t>
      </w:r>
    </w:p>
    <w:p>
      <w:pPr>
        <w:spacing w:line="360" w:lineRule="auto"/>
        <w:ind w:firstLine="480" w:firstLineChars="200"/>
        <w:rPr>
          <w:rFonts w:ascii="仿宋" w:hAnsi="仿宋"/>
        </w:rPr>
      </w:pPr>
      <w:r>
        <w:rPr>
          <w:rFonts w:hint="eastAsia" w:ascii="仿宋" w:hAnsi="仿宋"/>
        </w:rPr>
        <w:t>期货公司拟解聘首席风险官的，应当有正当理由，并向住所地中国证监会派出机构报告。</w:t>
      </w:r>
    </w:p>
    <w:p>
      <w:pPr>
        <w:spacing w:line="360" w:lineRule="auto"/>
        <w:ind w:firstLine="480" w:firstLineChars="200"/>
        <w:rPr>
          <w:rFonts w:ascii="仿宋" w:hAnsi="仿宋"/>
        </w:rPr>
      </w:pPr>
      <w:r>
        <w:rPr>
          <w:rFonts w:hint="eastAsia" w:ascii="仿宋" w:hAnsi="仿宋"/>
        </w:rPr>
        <w:t>《期货公司董事、监事和高级管理人员任职资格管理办法》第33条 期货公司董事、监事和高级管理人员兼职的，应当自有关情况发生之日起5个工作日内向中国证监会相关派出机构报告。</w:t>
      </w:r>
    </w:p>
    <w:p>
      <w:pPr>
        <w:spacing w:line="360" w:lineRule="auto"/>
        <w:ind w:firstLine="480" w:firstLineChars="200"/>
        <w:rPr>
          <w:rFonts w:ascii="仿宋" w:hAnsi="仿宋"/>
        </w:rPr>
      </w:pPr>
      <w:r>
        <w:rPr>
          <w:rFonts w:hint="eastAsia" w:ascii="仿宋" w:hAnsi="仿宋"/>
        </w:rPr>
        <w:t>《期货公司董事、监事和高级管理人员任职资格管理办法》第47条 期货公司调整高级管理人员职责分工的，应当在5个工作日内向中国证监会相关派出机构报告。</w:t>
      </w:r>
    </w:p>
    <w:p>
      <w:pPr>
        <w:spacing w:line="360" w:lineRule="auto"/>
        <w:ind w:firstLine="480" w:firstLineChars="200"/>
        <w:rPr>
          <w:rFonts w:ascii="仿宋" w:hAnsi="仿宋"/>
        </w:rPr>
      </w:pPr>
      <w:r>
        <w:rPr>
          <w:rFonts w:hint="eastAsia" w:ascii="仿宋" w:hAnsi="仿宋"/>
        </w:rPr>
        <w:t>《期货公司董事、监事和高级管理人员任职资格管理办法》第48条 期货公司董事、监事和高级管理人员因涉嫌违法违规行为被有权机关立案调查或者采取强制措施的，期货公司应当在知悉或者应当知悉之日起3个工作日内向中国证监会相关派出机构报告。</w:t>
      </w:r>
    </w:p>
    <w:p>
      <w:pPr>
        <w:spacing w:line="360" w:lineRule="auto"/>
        <w:ind w:firstLine="480" w:firstLineChars="200"/>
        <w:rPr>
          <w:rFonts w:ascii="仿宋" w:hAnsi="仿宋"/>
        </w:rPr>
      </w:pPr>
      <w:r>
        <w:rPr>
          <w:rFonts w:hint="eastAsia" w:ascii="仿宋" w:hAnsi="仿宋"/>
        </w:rPr>
        <w:t>《期货公司董事、监事和高级管理人员任职资格管理办法》第49条 期货公司对董事、监事和高级管理人员给予处分的，应当自作出决定之日起5个工作日内向中国证监会相关派出机构报告。</w:t>
      </w:r>
    </w:p>
    <w:p>
      <w:pPr>
        <w:spacing w:line="360" w:lineRule="auto"/>
        <w:ind w:firstLine="480" w:firstLineChars="200"/>
        <w:rPr>
          <w:rFonts w:ascii="仿宋" w:hAnsi="仿宋"/>
        </w:rPr>
      </w:pPr>
      <w:r>
        <w:rPr>
          <w:rFonts w:hint="eastAsia" w:ascii="仿宋" w:hAnsi="仿宋"/>
        </w:rPr>
        <w:t>《期货公司董事、监事和高级管理人员任职资格管理办法》第50条 期货公司董事、监事和高级管理人员受到非法或者不当干预，不能正常依法履行职责，导致或者可能导致期货公司发生违规行为或者出现风险的，该人员应当及时向中国证监会相关派出机构报告。</w:t>
      </w:r>
    </w:p>
    <w:p>
      <w:pPr>
        <w:spacing w:line="360" w:lineRule="auto"/>
        <w:ind w:firstLine="480" w:firstLineChars="200"/>
        <w:rPr>
          <w:rFonts w:ascii="仿宋" w:hAnsi="仿宋"/>
        </w:rPr>
      </w:pPr>
      <w:r>
        <w:rPr>
          <w:rFonts w:hint="eastAsia" w:ascii="仿宋" w:hAnsi="仿宋"/>
        </w:rPr>
        <w:t>《期货公司董事、监事和高级管理人员任职资格管理办法》第58条 期货公司董事长、总经理辞职，或者被认定为不适当人选而被解除职务，或者被撤销任职资格的，期货公司应当委托具有证券、期货相关业务资格的会计师事务所对其进行离任审计，并自其离任之日起3个月内将审计报告报中国证监会及其派出机构备案。</w:t>
      </w:r>
    </w:p>
    <w:p>
      <w:pPr>
        <w:spacing w:line="360" w:lineRule="auto"/>
        <w:ind w:firstLine="480" w:firstLineChars="200"/>
        <w:rPr>
          <w:rFonts w:ascii="仿宋" w:hAnsi="仿宋"/>
        </w:rPr>
      </w:pPr>
      <w:r>
        <w:rPr>
          <w:rFonts w:hint="eastAsia" w:ascii="仿宋" w:hAnsi="仿宋"/>
        </w:rPr>
        <w:t>《期货公司监督管理办法》第78条 中国证监会及其派出机构可以要求下列机构或者个人，在指定期限内报送与期货公司经营相关的资料：</w:t>
      </w:r>
    </w:p>
    <w:p>
      <w:pPr>
        <w:spacing w:line="360" w:lineRule="auto"/>
        <w:ind w:firstLine="480" w:firstLineChars="200"/>
        <w:rPr>
          <w:rFonts w:ascii="仿宋" w:hAnsi="仿宋"/>
        </w:rPr>
      </w:pPr>
      <w:r>
        <w:rPr>
          <w:rFonts w:hint="eastAsia" w:ascii="仿宋" w:hAnsi="仿宋"/>
        </w:rPr>
        <w:t>（一）期货公司及其董事、监事、高级管理人员及其他工作人员；</w:t>
      </w:r>
    </w:p>
    <w:p>
      <w:pPr>
        <w:spacing w:line="360" w:lineRule="auto"/>
        <w:ind w:firstLine="480" w:firstLineChars="200"/>
        <w:rPr>
          <w:rFonts w:ascii="仿宋" w:hAnsi="仿宋"/>
        </w:rPr>
      </w:pPr>
      <w:r>
        <w:rPr>
          <w:rFonts w:hint="eastAsia" w:ascii="仿宋" w:hAnsi="仿宋"/>
        </w:rPr>
        <w:t>（二）期货公司股东、实际控制人或者其他关联人；</w:t>
      </w:r>
    </w:p>
    <w:p>
      <w:pPr>
        <w:spacing w:line="360" w:lineRule="auto"/>
        <w:ind w:firstLine="480" w:firstLineChars="200"/>
        <w:rPr>
          <w:rFonts w:ascii="仿宋" w:hAnsi="仿宋"/>
        </w:rPr>
      </w:pPr>
      <w:r>
        <w:rPr>
          <w:rFonts w:hint="eastAsia" w:ascii="仿宋" w:hAnsi="仿宋"/>
        </w:rPr>
        <w:t>（三）期货公司控股、参股或者实际控制的企业；</w:t>
      </w:r>
    </w:p>
    <w:p>
      <w:pPr>
        <w:spacing w:line="360" w:lineRule="auto"/>
        <w:ind w:firstLine="480" w:firstLineChars="200"/>
        <w:rPr>
          <w:rFonts w:ascii="仿宋" w:hAnsi="仿宋"/>
        </w:rPr>
      </w:pPr>
      <w:r>
        <w:rPr>
          <w:rFonts w:hint="eastAsia" w:ascii="仿宋" w:hAnsi="仿宋"/>
        </w:rPr>
        <w:t>（四）为期货公司提供相关服务的会计师事务所、律师事务所、资产评估机构等中介服务机构。</w:t>
      </w:r>
    </w:p>
    <w:p>
      <w:pPr>
        <w:spacing w:line="360" w:lineRule="auto"/>
        <w:ind w:firstLine="480" w:firstLineChars="200"/>
        <w:rPr>
          <w:rFonts w:ascii="仿宋" w:hAnsi="仿宋"/>
        </w:rPr>
      </w:pPr>
      <w:r>
        <w:rPr>
          <w:rFonts w:hint="eastAsia" w:ascii="仿宋" w:hAnsi="仿宋"/>
        </w:rPr>
        <w:t>报送、提供或者披露的资料、信息应当真实、准确、完整，不得有虚假记载、误导性陈述或者重大遗漏。</w:t>
      </w:r>
    </w:p>
    <w:p>
      <w:pPr>
        <w:spacing w:line="360" w:lineRule="auto"/>
        <w:ind w:firstLine="480" w:firstLineChars="200"/>
        <w:rPr>
          <w:rFonts w:ascii="仿宋" w:hAnsi="仿宋"/>
        </w:rPr>
      </w:pPr>
      <w:r>
        <w:rPr>
          <w:rFonts w:hint="eastAsia" w:ascii="仿宋" w:hAnsi="仿宋"/>
        </w:rPr>
        <w:t>《中国期货业协会会员管理办法》第13条 期货公司出现下列情形时，应自发生该情形之日起5个工作日内函告协会，并在协会行业信息管理平台中及时填报有关信息：</w:t>
      </w:r>
    </w:p>
    <w:p>
      <w:pPr>
        <w:spacing w:line="360" w:lineRule="auto"/>
        <w:ind w:firstLine="480" w:firstLineChars="200"/>
        <w:rPr>
          <w:rFonts w:ascii="仿宋" w:hAnsi="仿宋"/>
        </w:rPr>
      </w:pPr>
      <w:r>
        <w:rPr>
          <w:rFonts w:hint="eastAsia" w:ascii="仿宋" w:hAnsi="仿宋"/>
        </w:rPr>
        <w:t>（一）变更名称；</w:t>
      </w:r>
    </w:p>
    <w:p>
      <w:pPr>
        <w:spacing w:line="360" w:lineRule="auto"/>
        <w:ind w:firstLine="480" w:firstLineChars="200"/>
        <w:rPr>
          <w:rFonts w:ascii="仿宋" w:hAnsi="仿宋"/>
        </w:rPr>
      </w:pPr>
      <w:r>
        <w:rPr>
          <w:rFonts w:hint="eastAsia" w:ascii="仿宋" w:hAnsi="仿宋"/>
        </w:rPr>
        <w:t>（二）变更住所或者营业场所；</w:t>
      </w:r>
    </w:p>
    <w:p>
      <w:pPr>
        <w:spacing w:line="360" w:lineRule="auto"/>
        <w:ind w:firstLine="480" w:firstLineChars="200"/>
        <w:rPr>
          <w:rFonts w:ascii="仿宋" w:hAnsi="仿宋"/>
        </w:rPr>
      </w:pPr>
      <w:r>
        <w:rPr>
          <w:rFonts w:hint="eastAsia" w:ascii="仿宋" w:hAnsi="仿宋"/>
        </w:rPr>
        <w:t>（三）变更法定代表人、主要负责人；</w:t>
      </w:r>
    </w:p>
    <w:p>
      <w:pPr>
        <w:spacing w:line="360" w:lineRule="auto"/>
        <w:ind w:firstLine="480" w:firstLineChars="200"/>
        <w:rPr>
          <w:rFonts w:ascii="仿宋" w:hAnsi="仿宋"/>
        </w:rPr>
      </w:pPr>
      <w:r>
        <w:rPr>
          <w:rFonts w:hint="eastAsia" w:ascii="仿宋" w:hAnsi="仿宋"/>
        </w:rPr>
        <w:t>（四）变更注册资本；</w:t>
      </w:r>
    </w:p>
    <w:p>
      <w:pPr>
        <w:spacing w:line="360" w:lineRule="auto"/>
        <w:ind w:firstLine="480" w:firstLineChars="200"/>
        <w:rPr>
          <w:rFonts w:ascii="仿宋" w:hAnsi="仿宋"/>
        </w:rPr>
      </w:pPr>
      <w:r>
        <w:rPr>
          <w:rFonts w:hint="eastAsia" w:ascii="仿宋" w:hAnsi="仿宋"/>
        </w:rPr>
        <w:t>（五）变更经营范围；</w:t>
      </w:r>
    </w:p>
    <w:p>
      <w:pPr>
        <w:spacing w:line="360" w:lineRule="auto"/>
        <w:ind w:firstLine="480" w:firstLineChars="200"/>
        <w:rPr>
          <w:rFonts w:ascii="仿宋" w:hAnsi="仿宋"/>
        </w:rPr>
      </w:pPr>
      <w:r>
        <w:rPr>
          <w:rFonts w:hint="eastAsia" w:ascii="仿宋" w:hAnsi="仿宋"/>
        </w:rPr>
        <w:t>（六）变更股东或者股权结构；</w:t>
      </w:r>
    </w:p>
    <w:p>
      <w:pPr>
        <w:spacing w:line="360" w:lineRule="auto"/>
        <w:ind w:firstLine="480" w:firstLineChars="200"/>
        <w:rPr>
          <w:rFonts w:ascii="仿宋" w:hAnsi="仿宋"/>
        </w:rPr>
      </w:pPr>
      <w:r>
        <w:rPr>
          <w:rFonts w:hint="eastAsia" w:ascii="仿宋" w:hAnsi="仿宋"/>
        </w:rPr>
        <w:t>（七）设立或者终止分支机构；</w:t>
      </w:r>
    </w:p>
    <w:p>
      <w:pPr>
        <w:spacing w:line="360" w:lineRule="auto"/>
        <w:ind w:firstLine="480" w:firstLineChars="200"/>
        <w:rPr>
          <w:rFonts w:ascii="仿宋" w:hAnsi="仿宋"/>
        </w:rPr>
      </w:pPr>
      <w:r>
        <w:rPr>
          <w:rFonts w:hint="eastAsia" w:ascii="仿宋" w:hAnsi="仿宋"/>
        </w:rPr>
        <w:t>（八）合并、分立或者变更公司形式；</w:t>
      </w:r>
    </w:p>
    <w:p>
      <w:pPr>
        <w:spacing w:line="360" w:lineRule="auto"/>
        <w:ind w:firstLine="480" w:firstLineChars="200"/>
        <w:rPr>
          <w:rFonts w:ascii="仿宋" w:hAnsi="仿宋"/>
        </w:rPr>
      </w:pPr>
      <w:r>
        <w:rPr>
          <w:rFonts w:hint="eastAsia" w:ascii="仿宋" w:hAnsi="仿宋"/>
        </w:rPr>
        <w:t>（九）变更与协会的联系方式；</w:t>
      </w:r>
    </w:p>
    <w:p>
      <w:pPr>
        <w:spacing w:line="360" w:lineRule="auto"/>
        <w:ind w:firstLine="480" w:firstLineChars="200"/>
        <w:rPr>
          <w:rFonts w:ascii="仿宋" w:hAnsi="仿宋"/>
        </w:rPr>
      </w:pPr>
      <w:r>
        <w:rPr>
          <w:rFonts w:hint="eastAsia" w:ascii="仿宋" w:hAnsi="仿宋"/>
        </w:rPr>
        <w:t>（十）受到中国证监会等有权机关处理；</w:t>
      </w:r>
    </w:p>
    <w:p>
      <w:pPr>
        <w:spacing w:line="360" w:lineRule="auto"/>
        <w:ind w:firstLine="480" w:firstLineChars="200"/>
        <w:rPr>
          <w:rFonts w:ascii="仿宋" w:hAnsi="仿宋"/>
        </w:rPr>
      </w:pPr>
      <w:r>
        <w:rPr>
          <w:rFonts w:hint="eastAsia" w:ascii="仿宋" w:hAnsi="仿宋"/>
        </w:rPr>
        <w:t>（十一）受到期货交易所等行业自律组织处分；</w:t>
      </w:r>
    </w:p>
    <w:p>
      <w:pPr>
        <w:spacing w:line="360" w:lineRule="auto"/>
        <w:ind w:firstLine="480" w:firstLineChars="200"/>
        <w:rPr>
          <w:rFonts w:ascii="仿宋" w:hAnsi="仿宋"/>
        </w:rPr>
      </w:pPr>
      <w:r>
        <w:rPr>
          <w:rFonts w:hint="eastAsia" w:ascii="仿宋" w:hAnsi="仿宋"/>
        </w:rPr>
        <w:t>（十二）协会认为需要报告的其他情形。</w:t>
      </w:r>
    </w:p>
    <w:p>
      <w:pPr>
        <w:spacing w:line="360" w:lineRule="auto"/>
        <w:ind w:firstLine="480" w:firstLineChars="200"/>
        <w:rPr>
          <w:rFonts w:ascii="仿宋" w:hAnsi="仿宋"/>
        </w:rPr>
      </w:pPr>
      <w:r>
        <w:rPr>
          <w:rFonts w:hint="eastAsia" w:ascii="仿宋" w:hAnsi="仿宋"/>
        </w:rPr>
        <w:t>《期货公司监督管理办法》第70条 期货公司开立、变更或者撤销期货保证金账户的，应于当日向期货保证金安全存管监控机构备案，并通过规定方式向客户披露账户开立、变更或者撤销情况。</w:t>
      </w:r>
    </w:p>
    <w:p>
      <w:pPr>
        <w:spacing w:line="360" w:lineRule="auto"/>
        <w:ind w:firstLine="480" w:firstLineChars="200"/>
        <w:rPr>
          <w:rFonts w:ascii="仿宋" w:hAnsi="仿宋"/>
        </w:rPr>
      </w:pPr>
      <w:r>
        <w:rPr>
          <w:rFonts w:hint="eastAsia" w:ascii="仿宋" w:hAnsi="仿宋"/>
        </w:rPr>
        <w:t>《期货公司监督管理办法》第73条 期货公司应当按照规定及时向期货保证金安全存管监控机构报送信息。</w:t>
      </w:r>
    </w:p>
    <w:p>
      <w:pPr>
        <w:spacing w:line="360" w:lineRule="auto"/>
        <w:ind w:firstLine="480" w:firstLineChars="200"/>
        <w:rPr>
          <w:rFonts w:ascii="仿宋" w:hAnsi="仿宋"/>
        </w:rPr>
      </w:pPr>
    </w:p>
    <w:p>
      <w:pPr>
        <w:pStyle w:val="4"/>
        <w:spacing w:before="0" w:after="0" w:line="360" w:lineRule="auto"/>
        <w:rPr>
          <w:rFonts w:ascii="仿宋" w:hAnsi="仿宋"/>
          <w:szCs w:val="24"/>
        </w:rPr>
      </w:pPr>
      <w:bookmarkStart w:id="290" w:name="_Toc403654033"/>
      <w:bookmarkStart w:id="291" w:name="_Toc403829833"/>
      <w:bookmarkStart w:id="292" w:name="_Toc410115161"/>
      <w:bookmarkStart w:id="293" w:name="_Toc3896773"/>
      <w:r>
        <w:rPr>
          <w:rFonts w:hint="eastAsia" w:ascii="仿宋" w:hAnsi="仿宋"/>
          <w:kern w:val="0"/>
          <w:szCs w:val="24"/>
        </w:rPr>
        <w:t>（三）</w:t>
      </w:r>
      <w:r>
        <w:rPr>
          <w:rFonts w:hint="eastAsia" w:ascii="仿宋" w:hAnsi="仿宋"/>
          <w:szCs w:val="24"/>
        </w:rPr>
        <w:t>期货公司出现特定情形的公告义务</w:t>
      </w:r>
      <w:bookmarkEnd w:id="290"/>
      <w:bookmarkEnd w:id="291"/>
      <w:bookmarkEnd w:id="292"/>
      <w:bookmarkEnd w:id="293"/>
    </w:p>
    <w:p>
      <w:pPr>
        <w:spacing w:line="360" w:lineRule="auto"/>
        <w:ind w:firstLine="480" w:firstLineChars="200"/>
        <w:rPr>
          <w:rFonts w:ascii="仿宋" w:hAnsi="仿宋"/>
        </w:rPr>
      </w:pPr>
      <w:r>
        <w:rPr>
          <w:rFonts w:hint="eastAsia" w:ascii="仿宋" w:hAnsi="仿宋"/>
        </w:rPr>
        <w:t>依据</w:t>
      </w:r>
      <w:r>
        <w:rPr>
          <w:rFonts w:ascii="仿宋" w:hAnsi="仿宋"/>
        </w:rPr>
        <w:t>:</w:t>
      </w:r>
    </w:p>
    <w:p>
      <w:pPr>
        <w:spacing w:line="360" w:lineRule="auto"/>
        <w:ind w:firstLine="480" w:firstLineChars="200"/>
        <w:rPr>
          <w:rFonts w:ascii="仿宋" w:hAnsi="仿宋"/>
        </w:rPr>
      </w:pPr>
      <w:r>
        <w:rPr>
          <w:rFonts w:hint="eastAsia" w:ascii="仿宋" w:hAnsi="仿宋"/>
        </w:rPr>
        <w:t>《期货公司监督管理办法》第</w:t>
      </w:r>
      <w:r>
        <w:rPr>
          <w:rFonts w:ascii="仿宋" w:hAnsi="仿宋"/>
        </w:rPr>
        <w:t>33</w:t>
      </w:r>
      <w:r>
        <w:rPr>
          <w:rFonts w:hint="eastAsia" w:ascii="仿宋" w:hAnsi="仿宋"/>
        </w:rPr>
        <w:t>条</w:t>
      </w:r>
      <w:r>
        <w:rPr>
          <w:rFonts w:hint="eastAsia" w:ascii="仿宋" w:hAnsi="仿宋"/>
          <w:b/>
        </w:rPr>
        <w:t xml:space="preserve"> </w:t>
      </w:r>
      <w:r>
        <w:rPr>
          <w:rFonts w:hint="eastAsia" w:ascii="仿宋" w:hAnsi="仿宋"/>
        </w:rPr>
        <w:t>期货公司设立、变更、停业、解散、破产、被撤销期货业务许可或者其分支机构设立、变更、终止的，期货公司应当在中国证监会指定的媒体上公告。</w:t>
      </w:r>
    </w:p>
    <w:p>
      <w:pPr>
        <w:spacing w:line="360" w:lineRule="auto"/>
        <w:ind w:firstLine="480" w:firstLineChars="200"/>
        <w:rPr>
          <w:rFonts w:ascii="仿宋" w:hAnsi="仿宋"/>
        </w:rPr>
      </w:pPr>
      <w:r>
        <w:rPr>
          <w:rFonts w:hint="eastAsia" w:ascii="仿宋" w:hAnsi="仿宋"/>
        </w:rPr>
        <w:t>《期货公司监督管理办法》第34条 期货公司及其分支机构的许可证由中国证监会统一印制。许可证正本或者副本遗失或者灭失的，期货公司应当在30 个工作日内在中国证监会指定的媒体上声明作废，并持登载声明向中国证监会重新申领。</w:t>
      </w:r>
    </w:p>
    <w:p>
      <w:pPr>
        <w:spacing w:line="360" w:lineRule="auto"/>
        <w:ind w:firstLine="480" w:firstLineChars="200"/>
        <w:rPr>
          <w:rFonts w:ascii="仿宋" w:hAnsi="仿宋"/>
        </w:rPr>
      </w:pPr>
    </w:p>
    <w:p>
      <w:pPr>
        <w:pStyle w:val="4"/>
        <w:spacing w:before="0" w:after="0" w:line="360" w:lineRule="auto"/>
        <w:rPr>
          <w:rFonts w:ascii="仿宋" w:hAnsi="仿宋"/>
          <w:szCs w:val="24"/>
        </w:rPr>
      </w:pPr>
      <w:bookmarkStart w:id="294" w:name="_Toc403654034"/>
      <w:bookmarkStart w:id="295" w:name="_Toc403829834"/>
      <w:bookmarkStart w:id="296" w:name="_Toc410115162"/>
      <w:bookmarkStart w:id="297" w:name="_Toc3896774"/>
      <w:r>
        <w:rPr>
          <w:rFonts w:hint="eastAsia" w:ascii="仿宋" w:hAnsi="仿宋"/>
          <w:kern w:val="0"/>
          <w:szCs w:val="24"/>
        </w:rPr>
        <w:t>（四）</w:t>
      </w:r>
      <w:r>
        <w:rPr>
          <w:rFonts w:hint="eastAsia" w:ascii="仿宋" w:hAnsi="仿宋"/>
          <w:szCs w:val="24"/>
        </w:rPr>
        <w:t>期货公司代履行董事长、总经理、首席风险官职务的报告义务</w:t>
      </w:r>
      <w:bookmarkEnd w:id="294"/>
      <w:bookmarkEnd w:id="295"/>
      <w:bookmarkEnd w:id="296"/>
      <w:bookmarkEnd w:id="297"/>
    </w:p>
    <w:p>
      <w:pPr>
        <w:spacing w:line="360" w:lineRule="auto"/>
        <w:ind w:firstLine="480" w:firstLineChars="200"/>
        <w:rPr>
          <w:rFonts w:ascii="仿宋" w:hAnsi="仿宋"/>
        </w:rPr>
      </w:pPr>
      <w:r>
        <w:rPr>
          <w:rFonts w:hint="eastAsia" w:ascii="仿宋" w:hAnsi="仿宋"/>
        </w:rPr>
        <w:t>依据</w:t>
      </w:r>
      <w:r>
        <w:rPr>
          <w:rFonts w:ascii="仿宋" w:hAnsi="仿宋"/>
        </w:rPr>
        <w:t>:</w:t>
      </w:r>
    </w:p>
    <w:p>
      <w:pPr>
        <w:spacing w:line="360" w:lineRule="auto"/>
        <w:ind w:firstLine="480" w:firstLineChars="200"/>
        <w:rPr>
          <w:rFonts w:ascii="仿宋" w:hAnsi="仿宋"/>
        </w:rPr>
      </w:pPr>
      <w:r>
        <w:rPr>
          <w:rFonts w:hint="eastAsia" w:ascii="仿宋" w:hAnsi="仿宋"/>
        </w:rPr>
        <w:t>《期货公司董事、监事和高级管理人员任职资格管理办法》第46条 期货公司董事长、总经理、首席风险官在失踪、死亡、丧失行为能力等特殊情形下不能履行职责的，期货公司可以按照公司章程等规定临时决定由符合相应任职资格条件的人员代为履行职责，并自作出决定之日起3个工作日内向中国证监会及其派出机构报告。</w:t>
      </w:r>
    </w:p>
    <w:p>
      <w:pPr>
        <w:spacing w:line="360" w:lineRule="auto"/>
        <w:ind w:firstLine="480" w:firstLineChars="200"/>
        <w:rPr>
          <w:rFonts w:ascii="仿宋" w:hAnsi="仿宋"/>
        </w:rPr>
      </w:pPr>
      <w:r>
        <w:rPr>
          <w:rFonts w:hint="eastAsia" w:ascii="仿宋" w:hAnsi="仿宋"/>
        </w:rPr>
        <w:t>公司决定的人员不符合条件的，中国证监会及其派出机构可以责令公司更换代为履行职责的人员。</w:t>
      </w:r>
    </w:p>
    <w:p>
      <w:pPr>
        <w:spacing w:line="360" w:lineRule="auto"/>
        <w:ind w:firstLine="480" w:firstLineChars="200"/>
        <w:rPr>
          <w:rFonts w:ascii="仿宋" w:hAnsi="仿宋"/>
        </w:rPr>
      </w:pPr>
      <w:r>
        <w:rPr>
          <w:rFonts w:hint="eastAsia" w:ascii="仿宋" w:hAnsi="仿宋"/>
        </w:rPr>
        <w:t>代为履行职责的时间不得超过6个月。公司应当在6个月内任用具有任职资格的人员担任董事长、总经理、首席风险官。</w:t>
      </w:r>
    </w:p>
    <w:p>
      <w:pPr>
        <w:spacing w:line="360" w:lineRule="auto"/>
        <w:ind w:firstLine="480" w:firstLineChars="200"/>
        <w:rPr>
          <w:rFonts w:ascii="仿宋" w:hAnsi="仿宋"/>
        </w:rPr>
      </w:pPr>
    </w:p>
    <w:p>
      <w:pPr>
        <w:pStyle w:val="4"/>
        <w:spacing w:before="0" w:after="0" w:line="360" w:lineRule="auto"/>
        <w:rPr>
          <w:rFonts w:ascii="仿宋" w:hAnsi="仿宋"/>
          <w:szCs w:val="24"/>
        </w:rPr>
      </w:pPr>
      <w:bookmarkStart w:id="298" w:name="_Toc403654035"/>
      <w:bookmarkStart w:id="299" w:name="_Toc403829835"/>
      <w:bookmarkStart w:id="300" w:name="_Toc410115163"/>
      <w:bookmarkStart w:id="301" w:name="_Toc3896775"/>
      <w:r>
        <w:rPr>
          <w:rFonts w:hint="eastAsia" w:ascii="仿宋" w:hAnsi="仿宋"/>
          <w:kern w:val="0"/>
          <w:szCs w:val="24"/>
        </w:rPr>
        <w:t>（五）</w:t>
      </w:r>
      <w:r>
        <w:rPr>
          <w:rFonts w:hint="eastAsia" w:ascii="仿宋" w:hAnsi="仿宋"/>
          <w:szCs w:val="24"/>
        </w:rPr>
        <w:t>期货公司应当说明风险控制指标监管具体情况并报告的规定</w:t>
      </w:r>
      <w:bookmarkEnd w:id="298"/>
      <w:bookmarkEnd w:id="299"/>
      <w:bookmarkEnd w:id="300"/>
      <w:bookmarkEnd w:id="301"/>
    </w:p>
    <w:p>
      <w:pPr>
        <w:spacing w:line="360" w:lineRule="auto"/>
        <w:ind w:firstLine="480" w:firstLineChars="200"/>
        <w:rPr>
          <w:rFonts w:ascii="仿宋" w:hAnsi="仿宋"/>
        </w:rPr>
      </w:pPr>
      <w:r>
        <w:rPr>
          <w:rFonts w:hint="eastAsia" w:ascii="仿宋" w:hAnsi="仿宋"/>
        </w:rPr>
        <w:t>依据</w:t>
      </w:r>
      <w:r>
        <w:rPr>
          <w:rFonts w:ascii="仿宋" w:hAnsi="仿宋"/>
        </w:rPr>
        <w:t>:</w:t>
      </w:r>
    </w:p>
    <w:p>
      <w:pPr>
        <w:spacing w:line="360" w:lineRule="auto"/>
        <w:ind w:firstLine="480" w:firstLineChars="200"/>
        <w:rPr>
          <w:rFonts w:ascii="仿宋" w:hAnsi="仿宋"/>
        </w:rPr>
      </w:pPr>
      <w:r>
        <w:rPr>
          <w:rFonts w:hint="eastAsia" w:ascii="仿宋" w:hAnsi="仿宋"/>
        </w:rPr>
        <w:t>《期货公司风险监管指标管理办法》第27条 净资本与风险资本准备的比例与上月相比向不利方向变动超过20%的，期货公司应当向公司住所地中国证监会派出机构提交书面报告，说明原因，并在5个工作日内向全体董事提交书面报告。</w:t>
      </w:r>
    </w:p>
    <w:p>
      <w:pPr>
        <w:spacing w:line="360" w:lineRule="auto"/>
        <w:ind w:firstLine="480" w:firstLineChars="200"/>
        <w:rPr>
          <w:rFonts w:ascii="仿宋" w:hAnsi="仿宋"/>
        </w:rPr>
      </w:pPr>
      <w:r>
        <w:rPr>
          <w:rFonts w:hint="eastAsia" w:ascii="仿宋" w:hAnsi="仿宋"/>
        </w:rPr>
        <w:t>《期货公司风险监管指标管理办法》第28条期货公司风险监管指标达到预警标准的，期货公司应当于当日向公司住所地中国证监会派出机构提交书面报告，详细说明原因、对公司的影响、解决问题的具体措施和期限，还应当向公司全体董事提交书面报告。</w:t>
      </w:r>
    </w:p>
    <w:p>
      <w:pPr>
        <w:spacing w:line="360" w:lineRule="auto"/>
        <w:ind w:firstLine="480" w:firstLineChars="200"/>
        <w:rPr>
          <w:rFonts w:ascii="仿宋" w:hAnsi="仿宋"/>
        </w:rPr>
      </w:pPr>
      <w:r>
        <w:rPr>
          <w:rFonts w:hint="eastAsia" w:ascii="仿宋" w:hAnsi="仿宋"/>
        </w:rPr>
        <w:t>期货公司风险监管指标不符合规定标准的，期货公司除履行上述程序外，还应当于当日向全体股东报告或进行信息披露。</w:t>
      </w:r>
    </w:p>
    <w:p>
      <w:pPr>
        <w:spacing w:line="360" w:lineRule="auto"/>
        <w:ind w:firstLine="480" w:firstLineChars="200"/>
        <w:rPr>
          <w:rFonts w:ascii="仿宋" w:hAnsi="仿宋"/>
        </w:rPr>
      </w:pPr>
    </w:p>
    <w:p>
      <w:pPr>
        <w:pStyle w:val="4"/>
        <w:spacing w:before="0" w:after="0" w:line="360" w:lineRule="auto"/>
        <w:rPr>
          <w:rFonts w:ascii="仿宋" w:hAnsi="仿宋"/>
          <w:szCs w:val="24"/>
        </w:rPr>
      </w:pPr>
      <w:bookmarkStart w:id="302" w:name="_Toc403654036"/>
      <w:bookmarkStart w:id="303" w:name="_Toc403829836"/>
      <w:bookmarkStart w:id="304" w:name="_Toc410115164"/>
      <w:bookmarkStart w:id="305" w:name="_Toc3896776"/>
      <w:r>
        <w:rPr>
          <w:rFonts w:hint="eastAsia" w:ascii="仿宋" w:hAnsi="仿宋"/>
          <w:kern w:val="0"/>
          <w:szCs w:val="24"/>
        </w:rPr>
        <w:t>（六）</w:t>
      </w:r>
      <w:r>
        <w:rPr>
          <w:rFonts w:hint="eastAsia" w:ascii="仿宋" w:hAnsi="仿宋"/>
          <w:szCs w:val="24"/>
        </w:rPr>
        <w:t>期货公司应编制风险控制指标监管报表并进行定期报告的规定</w:t>
      </w:r>
      <w:bookmarkEnd w:id="302"/>
      <w:bookmarkEnd w:id="303"/>
      <w:bookmarkEnd w:id="304"/>
      <w:bookmarkEnd w:id="305"/>
      <w:r>
        <w:rPr>
          <w:rFonts w:hint="eastAsia" w:ascii="仿宋" w:hAnsi="仿宋"/>
          <w:szCs w:val="24"/>
        </w:rPr>
        <w:tab/>
      </w:r>
    </w:p>
    <w:p>
      <w:pPr>
        <w:spacing w:line="360" w:lineRule="auto"/>
        <w:ind w:firstLine="480" w:firstLineChars="200"/>
        <w:rPr>
          <w:rFonts w:ascii="仿宋" w:hAnsi="仿宋"/>
        </w:rPr>
      </w:pPr>
      <w:r>
        <w:rPr>
          <w:rFonts w:hint="eastAsia" w:ascii="仿宋" w:hAnsi="仿宋"/>
        </w:rPr>
        <w:t>第二十条  期货公司应当每半年向公司董事会提交书面报告，说明各项风险监管指标的具体情况，该报告应当经期货公司法定代表人签字确认。该报告经董事会审议通过后，应当向期货公司全体股东提交或进行信息披露。</w:t>
      </w:r>
    </w:p>
    <w:p>
      <w:pPr>
        <w:spacing w:line="360" w:lineRule="auto"/>
        <w:ind w:firstLine="480" w:firstLineChars="200"/>
        <w:rPr>
          <w:rFonts w:ascii="仿宋" w:hAnsi="仿宋"/>
        </w:rPr>
      </w:pPr>
      <w:r>
        <w:rPr>
          <w:rFonts w:hint="eastAsia" w:ascii="仿宋" w:hAnsi="仿宋"/>
        </w:rPr>
        <w:t>第二十一条 净资本与风险资本准备的比例与上月相比向不利方向变动超过 20%的，期货公司应当向公司住所地中国证监会派出机构提交书面报告，说明原因，并在 5 个工作日内向全体 董事提交书面报告。</w:t>
      </w:r>
    </w:p>
    <w:p>
      <w:pPr>
        <w:spacing w:line="360" w:lineRule="auto"/>
        <w:ind w:firstLine="480" w:firstLineChars="200"/>
        <w:rPr>
          <w:rFonts w:ascii="仿宋" w:hAnsi="仿宋"/>
        </w:rPr>
      </w:pPr>
      <w:r>
        <w:rPr>
          <w:rFonts w:hint="eastAsia" w:ascii="仿宋" w:hAnsi="仿宋"/>
        </w:rPr>
        <w:t xml:space="preserve">第二十二条 期货公司风险监管指标达到预警标准的，期货公司应当于当日向全体董事提交书面报告，详细说明原因、对期货公司的影响、解决问题的具体措施和期限，书面报告应当同时 抄送期货公司住所地中国证监会派出机构。 </w:t>
      </w:r>
    </w:p>
    <w:p>
      <w:pPr>
        <w:spacing w:line="360" w:lineRule="auto"/>
        <w:ind w:firstLine="480" w:firstLineChars="200"/>
        <w:rPr>
          <w:rFonts w:ascii="仿宋" w:hAnsi="仿宋"/>
        </w:rPr>
      </w:pPr>
      <w:r>
        <w:rPr>
          <w:rFonts w:hint="eastAsia" w:ascii="仿宋" w:hAnsi="仿宋"/>
        </w:rPr>
        <w:t>期货公司风险监管指标不符合规定标准的，期货公司除履行上述程序外，还应当及时向全体股东报告或进行信息披露。</w:t>
      </w:r>
    </w:p>
    <w:p>
      <w:pPr>
        <w:spacing w:line="360" w:lineRule="auto"/>
        <w:ind w:firstLine="480" w:firstLineChars="200"/>
        <w:rPr>
          <w:rFonts w:ascii="仿宋" w:hAnsi="仿宋"/>
        </w:rPr>
      </w:pPr>
    </w:p>
    <w:p>
      <w:pPr>
        <w:pStyle w:val="4"/>
        <w:spacing w:before="0" w:after="0" w:line="360" w:lineRule="auto"/>
        <w:rPr>
          <w:rFonts w:ascii="仿宋" w:hAnsi="仿宋"/>
          <w:szCs w:val="24"/>
        </w:rPr>
      </w:pPr>
      <w:bookmarkStart w:id="306" w:name="_Toc403654037"/>
      <w:bookmarkStart w:id="307" w:name="_Toc403829837"/>
      <w:bookmarkStart w:id="308" w:name="_Toc410115165"/>
      <w:bookmarkStart w:id="309" w:name="_Toc3896777"/>
      <w:r>
        <w:rPr>
          <w:rFonts w:hint="eastAsia" w:ascii="仿宋" w:hAnsi="仿宋"/>
          <w:kern w:val="0"/>
          <w:szCs w:val="24"/>
        </w:rPr>
        <w:t>（七）</w:t>
      </w:r>
      <w:r>
        <w:rPr>
          <w:rFonts w:hint="eastAsia" w:ascii="仿宋" w:hAnsi="仿宋"/>
          <w:szCs w:val="24"/>
        </w:rPr>
        <w:t>期货公司集中交易系统发生软、硬件故障的报告义务的规定</w:t>
      </w:r>
      <w:bookmarkEnd w:id="306"/>
      <w:bookmarkEnd w:id="307"/>
      <w:bookmarkEnd w:id="308"/>
      <w:bookmarkEnd w:id="309"/>
    </w:p>
    <w:p>
      <w:pPr>
        <w:spacing w:line="360" w:lineRule="auto"/>
        <w:ind w:firstLine="480" w:firstLineChars="200"/>
        <w:rPr>
          <w:rFonts w:ascii="仿宋" w:hAnsi="仿宋"/>
        </w:rPr>
      </w:pPr>
      <w:r>
        <w:rPr>
          <w:rFonts w:hint="eastAsia" w:ascii="仿宋" w:hAnsi="仿宋"/>
        </w:rPr>
        <w:t>依据</w:t>
      </w:r>
      <w:r>
        <w:rPr>
          <w:rFonts w:ascii="仿宋" w:hAnsi="仿宋"/>
        </w:rPr>
        <w:t>:</w:t>
      </w:r>
    </w:p>
    <w:p>
      <w:pPr>
        <w:spacing w:line="360" w:lineRule="auto"/>
        <w:ind w:firstLine="480" w:firstLineChars="200"/>
        <w:rPr>
          <w:rFonts w:ascii="仿宋" w:hAnsi="仿宋"/>
        </w:rPr>
      </w:pPr>
      <w:r>
        <w:rPr>
          <w:rFonts w:hint="eastAsia" w:ascii="仿宋" w:hAnsi="仿宋"/>
        </w:rPr>
        <w:t>《证券期货业网络与信息安全事件应急预案2009版》第4.1.2（2）款 期货公司集中交易系统发生软、硬件故障，可能导致或已经造成全公司交易中断的，当事单位必须立即报告辖区证监局，同时向上海期货交易所、郑州商品交易所、大连商品交易所、中国金融期货交易所报告，并每隔30分钟至少上报一次，直至系统恢复正常运行；如有重要情况应立即报告。</w:t>
      </w:r>
    </w:p>
    <w:p>
      <w:pPr>
        <w:spacing w:line="360" w:lineRule="auto"/>
        <w:ind w:firstLine="480" w:firstLineChars="200"/>
        <w:rPr>
          <w:rFonts w:ascii="仿宋" w:hAnsi="仿宋"/>
        </w:rPr>
      </w:pPr>
      <w:r>
        <w:rPr>
          <w:rFonts w:hint="eastAsia" w:ascii="仿宋" w:hAnsi="仿宋"/>
        </w:rPr>
        <w:t>《证券期货业网络与信息安全事件应急预案2009版》第5.2（2）款 期货经营机构在事件应急处置结束、系统恢复正常运行后12小时内，将事件分析总结上报辖区证监局和行业协会，涉及远程接入交易所系统的故障，应同时上报有关交易所。（证券期货业网络与信息安全事件应急预案2009版第5.2（2）款）</w:t>
      </w:r>
    </w:p>
    <w:p>
      <w:pPr>
        <w:spacing w:line="360" w:lineRule="auto"/>
        <w:ind w:firstLine="480" w:firstLineChars="200"/>
        <w:rPr>
          <w:rFonts w:ascii="仿宋" w:hAnsi="仿宋"/>
        </w:rPr>
      </w:pPr>
      <w:r>
        <w:rPr>
          <w:rFonts w:hint="eastAsia" w:ascii="仿宋" w:hAnsi="仿宋"/>
        </w:rPr>
        <w:t>《期货公司网上期货信息系统技术指引》第47条</w:t>
      </w:r>
      <w:r>
        <w:rPr>
          <w:rFonts w:hint="eastAsia" w:ascii="仿宋" w:hAnsi="仿宋"/>
        </w:rPr>
        <w:tab/>
      </w:r>
      <w:r>
        <w:rPr>
          <w:rFonts w:hint="eastAsia" w:ascii="仿宋" w:hAnsi="仿宋"/>
        </w:rPr>
        <w:t>当期货公司网上期货信息系统出现安全事故时应及时向中国期货业协会报告，必要时还应向公安部门报案。</w:t>
      </w:r>
    </w:p>
    <w:p>
      <w:pPr>
        <w:spacing w:line="360" w:lineRule="auto"/>
        <w:ind w:firstLine="480" w:firstLineChars="200"/>
        <w:rPr>
          <w:rFonts w:ascii="仿宋" w:hAnsi="仿宋"/>
        </w:rPr>
      </w:pPr>
    </w:p>
    <w:p>
      <w:pPr>
        <w:pStyle w:val="4"/>
        <w:spacing w:before="0" w:after="0" w:line="360" w:lineRule="auto"/>
        <w:rPr>
          <w:rFonts w:ascii="仿宋" w:hAnsi="仿宋"/>
          <w:szCs w:val="24"/>
        </w:rPr>
      </w:pPr>
      <w:bookmarkStart w:id="310" w:name="_Toc403654038"/>
      <w:bookmarkStart w:id="311" w:name="_Toc403829838"/>
      <w:bookmarkStart w:id="312" w:name="_Toc410115166"/>
      <w:bookmarkStart w:id="313" w:name="_Toc3896778"/>
      <w:r>
        <w:rPr>
          <w:rFonts w:hint="eastAsia" w:ascii="仿宋" w:hAnsi="仿宋"/>
          <w:kern w:val="0"/>
          <w:szCs w:val="24"/>
        </w:rPr>
        <w:t>（八）</w:t>
      </w:r>
      <w:r>
        <w:rPr>
          <w:rFonts w:hint="eastAsia" w:ascii="仿宋" w:hAnsi="仿宋"/>
          <w:szCs w:val="24"/>
        </w:rPr>
        <w:t>期货经营机构总部的其他信息系统（包括但不限于网上交易系统，银证、银期、银基系统）和营业部交易业务系统的信息系统发生网络与信息安全事件的报告义务的规定</w:t>
      </w:r>
      <w:bookmarkEnd w:id="310"/>
      <w:bookmarkEnd w:id="311"/>
      <w:bookmarkEnd w:id="312"/>
      <w:bookmarkEnd w:id="313"/>
    </w:p>
    <w:p>
      <w:pPr>
        <w:spacing w:line="360" w:lineRule="auto"/>
        <w:ind w:firstLine="480" w:firstLineChars="200"/>
        <w:rPr>
          <w:rFonts w:ascii="仿宋" w:hAnsi="仿宋"/>
        </w:rPr>
      </w:pPr>
      <w:r>
        <w:rPr>
          <w:rFonts w:hint="eastAsia" w:ascii="仿宋" w:hAnsi="仿宋"/>
        </w:rPr>
        <w:t>依据</w:t>
      </w:r>
      <w:r>
        <w:rPr>
          <w:rFonts w:ascii="仿宋" w:hAnsi="仿宋"/>
        </w:rPr>
        <w:t>:</w:t>
      </w:r>
    </w:p>
    <w:p>
      <w:pPr>
        <w:spacing w:line="360" w:lineRule="auto"/>
        <w:ind w:firstLine="480" w:firstLineChars="200"/>
        <w:rPr>
          <w:rFonts w:ascii="仿宋" w:hAnsi="仿宋"/>
        </w:rPr>
      </w:pPr>
      <w:r>
        <w:rPr>
          <w:rFonts w:hint="eastAsia" w:ascii="仿宋" w:hAnsi="仿宋"/>
        </w:rPr>
        <w:t>《证券期货业网络与信息安全事件应急预案2009版》第4.1.2（2）款 期货经营机构总部的其他信息系统（包括但不限于网上交易系统，银证、银期、银基系统）和营业部交易业务系统的信息系统发生网络与信息安全事件后，原则上若30分钟内仍然没有解决问题，当事单位应立即将事件情况上报辖区证监局，并每隔30分钟至少上报一次，直至系统恢复正常运行；如有重要情况应立即报告。涉及到网络犯罪的事件，当事单位应同时报送当地公安网监部门。</w:t>
      </w:r>
    </w:p>
    <w:p>
      <w:pPr>
        <w:spacing w:line="360" w:lineRule="auto"/>
        <w:ind w:firstLine="480" w:firstLineChars="200"/>
        <w:rPr>
          <w:rFonts w:ascii="仿宋" w:hAnsi="仿宋"/>
        </w:rPr>
      </w:pPr>
      <w:r>
        <w:rPr>
          <w:rFonts w:hint="eastAsia" w:ascii="仿宋" w:hAnsi="仿宋"/>
        </w:rPr>
        <w:t>《证券期货业网络与信息安全事件应急预案2009版》第5.2（2）款 期货经营机构在事件应急处置结束、系统恢复正常运行后12小时内，将事件分析总结上报辖区证监局和行业协会，涉及远程接入交易所系统的故障，应同时上报有关交易所。（证券期货业网络与信息安全事件应急预案2009版第5.2（2）款）</w:t>
      </w:r>
    </w:p>
    <w:p>
      <w:pPr>
        <w:spacing w:line="360" w:lineRule="auto"/>
        <w:ind w:firstLine="480" w:firstLineChars="200"/>
        <w:rPr>
          <w:rFonts w:ascii="仿宋" w:hAnsi="仿宋"/>
        </w:rPr>
      </w:pPr>
      <w:r>
        <w:rPr>
          <w:rFonts w:hint="eastAsia" w:ascii="仿宋" w:hAnsi="仿宋"/>
        </w:rPr>
        <w:t>《期货公司网上期货信息系统技术指引》第47条</w:t>
      </w:r>
      <w:r>
        <w:rPr>
          <w:rFonts w:hint="eastAsia" w:ascii="仿宋" w:hAnsi="仿宋"/>
        </w:rPr>
        <w:tab/>
      </w:r>
      <w:r>
        <w:rPr>
          <w:rFonts w:hint="eastAsia" w:ascii="仿宋" w:hAnsi="仿宋"/>
        </w:rPr>
        <w:t>当期货公司网上期货信息系统出现安全事故时应及时向中国期货业协会报告，必要时还应向公安部门报案。</w:t>
      </w:r>
    </w:p>
    <w:p>
      <w:pPr>
        <w:spacing w:line="360" w:lineRule="auto"/>
        <w:rPr>
          <w:rFonts w:ascii="仿宋" w:hAnsi="仿宋"/>
        </w:rPr>
      </w:pPr>
    </w:p>
    <w:p>
      <w:pPr>
        <w:pStyle w:val="4"/>
        <w:spacing w:before="0" w:after="0" w:line="360" w:lineRule="auto"/>
        <w:rPr>
          <w:rFonts w:ascii="仿宋" w:hAnsi="仿宋"/>
          <w:szCs w:val="24"/>
        </w:rPr>
      </w:pPr>
      <w:bookmarkStart w:id="314" w:name="_Toc403654040"/>
      <w:bookmarkStart w:id="315" w:name="_Toc403829839"/>
      <w:bookmarkStart w:id="316" w:name="_Toc410115167"/>
      <w:bookmarkStart w:id="317" w:name="_Toc3896779"/>
      <w:r>
        <w:rPr>
          <w:rFonts w:hint="eastAsia" w:ascii="仿宋" w:hAnsi="仿宋"/>
          <w:kern w:val="0"/>
          <w:szCs w:val="24"/>
        </w:rPr>
        <w:t>（九）</w:t>
      </w:r>
      <w:r>
        <w:rPr>
          <w:rFonts w:hint="eastAsia" w:ascii="仿宋" w:hAnsi="仿宋"/>
          <w:szCs w:val="24"/>
        </w:rPr>
        <w:t>熟悉期货公司经纪合同的制定及签订要求</w:t>
      </w:r>
      <w:bookmarkEnd w:id="314"/>
      <w:bookmarkEnd w:id="315"/>
      <w:bookmarkEnd w:id="316"/>
      <w:bookmarkEnd w:id="317"/>
    </w:p>
    <w:p>
      <w:pPr>
        <w:spacing w:line="360" w:lineRule="auto"/>
        <w:ind w:firstLine="480" w:firstLineChars="200"/>
        <w:rPr>
          <w:rFonts w:ascii="仿宋" w:hAnsi="仿宋"/>
        </w:rPr>
      </w:pPr>
      <w:r>
        <w:rPr>
          <w:rFonts w:hint="eastAsia" w:ascii="仿宋" w:hAnsi="仿宋"/>
        </w:rPr>
        <w:t>依据</w:t>
      </w:r>
      <w:r>
        <w:rPr>
          <w:rFonts w:ascii="仿宋" w:hAnsi="仿宋"/>
        </w:rPr>
        <w:t>:</w:t>
      </w:r>
    </w:p>
    <w:p>
      <w:pPr>
        <w:spacing w:line="360" w:lineRule="auto"/>
        <w:ind w:firstLine="480" w:firstLineChars="200"/>
        <w:rPr>
          <w:rFonts w:ascii="仿宋" w:hAnsi="仿宋"/>
        </w:rPr>
      </w:pPr>
      <w:r>
        <w:rPr>
          <w:rFonts w:hint="eastAsia" w:ascii="仿宋" w:hAnsi="仿宋"/>
        </w:rPr>
        <w:t>《期货公司监督管理办法》第</w:t>
      </w:r>
      <w:r>
        <w:rPr>
          <w:rFonts w:ascii="仿宋" w:hAnsi="仿宋"/>
        </w:rPr>
        <w:t>5</w:t>
      </w:r>
      <w:r>
        <w:rPr>
          <w:rFonts w:hint="eastAsia" w:ascii="仿宋" w:hAnsi="仿宋"/>
        </w:rPr>
        <w:t>4条 期货公司在为客户开立期货经纪账户前，应当向客户出示《期货交易风险说明书》，由客户签字确认，并签订期货经纪合同。</w:t>
      </w:r>
    </w:p>
    <w:p>
      <w:pPr>
        <w:spacing w:line="360" w:lineRule="auto"/>
        <w:ind w:firstLine="480" w:firstLineChars="200"/>
        <w:rPr>
          <w:rFonts w:ascii="仿宋" w:hAnsi="仿宋"/>
        </w:rPr>
      </w:pPr>
      <w:r>
        <w:rPr>
          <w:rFonts w:hint="eastAsia" w:ascii="仿宋" w:hAnsi="仿宋"/>
        </w:rPr>
        <w:t>《〈期货经纪合同〉指引》和《期货交易风险说明书》由中国期货业协会制定。</w:t>
      </w:r>
    </w:p>
    <w:p>
      <w:pPr>
        <w:spacing w:line="360" w:lineRule="auto"/>
        <w:ind w:firstLine="480" w:firstLineChars="200"/>
        <w:rPr>
          <w:rFonts w:ascii="仿宋" w:hAnsi="仿宋"/>
        </w:rPr>
      </w:pPr>
    </w:p>
    <w:p>
      <w:pPr>
        <w:pStyle w:val="4"/>
        <w:spacing w:before="0" w:after="0" w:line="360" w:lineRule="auto"/>
        <w:rPr>
          <w:rFonts w:ascii="仿宋" w:hAnsi="仿宋"/>
          <w:szCs w:val="24"/>
        </w:rPr>
      </w:pPr>
      <w:bookmarkStart w:id="318" w:name="_Toc403654041"/>
      <w:bookmarkStart w:id="319" w:name="_Toc403829840"/>
      <w:bookmarkStart w:id="320" w:name="_Toc410115168"/>
      <w:bookmarkStart w:id="321" w:name="_Toc3896780"/>
      <w:r>
        <w:rPr>
          <w:rFonts w:hint="eastAsia" w:ascii="仿宋" w:hAnsi="仿宋"/>
          <w:kern w:val="0"/>
          <w:szCs w:val="24"/>
        </w:rPr>
        <w:t>（十）</w:t>
      </w:r>
      <w:r>
        <w:rPr>
          <w:rFonts w:hint="eastAsia" w:ascii="仿宋" w:hAnsi="仿宋"/>
          <w:szCs w:val="24"/>
        </w:rPr>
        <w:t>期货公司信息公示途径、时间、内容的有关规定</w:t>
      </w:r>
      <w:bookmarkEnd w:id="318"/>
      <w:bookmarkEnd w:id="319"/>
      <w:bookmarkEnd w:id="320"/>
      <w:bookmarkEnd w:id="321"/>
    </w:p>
    <w:p>
      <w:pPr>
        <w:spacing w:line="360" w:lineRule="auto"/>
        <w:ind w:firstLine="480" w:firstLineChars="200"/>
        <w:rPr>
          <w:rFonts w:ascii="仿宋" w:hAnsi="仿宋"/>
        </w:rPr>
      </w:pPr>
      <w:r>
        <w:rPr>
          <w:rFonts w:hint="eastAsia" w:ascii="仿宋" w:hAnsi="仿宋"/>
        </w:rPr>
        <w:t>依据</w:t>
      </w:r>
      <w:r>
        <w:rPr>
          <w:rFonts w:ascii="仿宋" w:hAnsi="仿宋"/>
        </w:rPr>
        <w:t>:</w:t>
      </w:r>
    </w:p>
    <w:p>
      <w:pPr>
        <w:spacing w:line="360" w:lineRule="auto"/>
        <w:ind w:firstLine="480" w:firstLineChars="200"/>
        <w:rPr>
          <w:rFonts w:ascii="仿宋" w:hAnsi="仿宋"/>
        </w:rPr>
      </w:pPr>
      <w:r>
        <w:rPr>
          <w:rFonts w:hint="eastAsia" w:ascii="仿宋" w:hAnsi="仿宋"/>
        </w:rPr>
        <w:t>《期货公司监督管理办法》第82条 期货公司应当按照规定，公示基本情况、历史情况、分支机构基本情况、董事及监事信息、高级管理人员及从业人员信息、公司股东信息、公司诚信记录以及中国证监会要求的其他信息。</w:t>
      </w:r>
    </w:p>
    <w:p>
      <w:pPr>
        <w:spacing w:line="360" w:lineRule="auto"/>
        <w:ind w:firstLine="480" w:firstLineChars="200"/>
        <w:rPr>
          <w:rFonts w:ascii="仿宋" w:hAnsi="仿宋"/>
        </w:rPr>
      </w:pPr>
      <w:r>
        <w:rPr>
          <w:rFonts w:hint="eastAsia" w:ascii="仿宋" w:hAnsi="仿宋"/>
        </w:rPr>
        <w:t>《期货公司信息公示管理规定》第2条 期货公司应当按照本规定的要求，公示以下信息：</w:t>
      </w:r>
    </w:p>
    <w:p>
      <w:pPr>
        <w:spacing w:line="360" w:lineRule="auto"/>
        <w:ind w:firstLine="480" w:firstLineChars="200"/>
        <w:rPr>
          <w:rFonts w:ascii="仿宋" w:hAnsi="仿宋"/>
        </w:rPr>
      </w:pPr>
      <w:r>
        <w:rPr>
          <w:rFonts w:hint="eastAsia" w:ascii="仿宋" w:hAnsi="仿宋"/>
        </w:rPr>
        <w:t>（一）公司基本情况。包括公司名称、许可证号、经营范围、注册资本、公司住所、法定代表人、办公地址和邮编、客户服务及投诉电话、公司网址、公司电子邮箱等。</w:t>
      </w:r>
    </w:p>
    <w:p>
      <w:pPr>
        <w:spacing w:line="360" w:lineRule="auto"/>
        <w:ind w:firstLine="480" w:firstLineChars="200"/>
        <w:rPr>
          <w:rFonts w:ascii="仿宋" w:hAnsi="仿宋"/>
        </w:rPr>
      </w:pPr>
      <w:r>
        <w:rPr>
          <w:rFonts w:hint="eastAsia" w:ascii="仿宋" w:hAnsi="仿宋"/>
        </w:rPr>
        <w:t>（二）公司历史情况。包括公司成立、名称变更、改制重组和增资扩股等。</w:t>
      </w:r>
    </w:p>
    <w:p>
      <w:pPr>
        <w:spacing w:line="360" w:lineRule="auto"/>
        <w:ind w:firstLine="480" w:firstLineChars="200"/>
        <w:rPr>
          <w:rFonts w:ascii="仿宋" w:hAnsi="仿宋"/>
        </w:rPr>
      </w:pPr>
      <w:r>
        <w:rPr>
          <w:rFonts w:hint="eastAsia" w:ascii="仿宋" w:hAnsi="仿宋"/>
        </w:rPr>
        <w:t>（三）公司分支机构基本情况。包括分支机构的名称、所在地、设立时间、许可证号、负责人、详细地址、客户服务及投诉电话等。</w:t>
      </w:r>
    </w:p>
    <w:p>
      <w:pPr>
        <w:spacing w:line="360" w:lineRule="auto"/>
        <w:ind w:firstLine="480" w:firstLineChars="200"/>
        <w:rPr>
          <w:rFonts w:ascii="仿宋" w:hAnsi="仿宋"/>
        </w:rPr>
      </w:pPr>
      <w:r>
        <w:rPr>
          <w:rFonts w:hint="eastAsia" w:ascii="仿宋" w:hAnsi="仿宋"/>
        </w:rPr>
        <w:t>（四）公司董事、监事和高级管理人员信息。包括期货公司董事、监事和高级管理人员的姓名、性别、职务、任职时间、高管资格批准文号等。</w:t>
      </w:r>
    </w:p>
    <w:p>
      <w:pPr>
        <w:spacing w:line="360" w:lineRule="auto"/>
        <w:ind w:firstLine="480" w:firstLineChars="200"/>
        <w:rPr>
          <w:rFonts w:ascii="仿宋" w:hAnsi="仿宋"/>
        </w:rPr>
      </w:pPr>
      <w:r>
        <w:rPr>
          <w:rFonts w:hint="eastAsia" w:ascii="仿宋" w:hAnsi="仿宋"/>
        </w:rPr>
        <w:t>（五）公司从业人员信息。包括期货从业人员的姓名、性别、职务、任职时间、从业资格号等。</w:t>
      </w:r>
    </w:p>
    <w:p>
      <w:pPr>
        <w:spacing w:line="360" w:lineRule="auto"/>
        <w:ind w:firstLine="480" w:firstLineChars="200"/>
        <w:rPr>
          <w:rFonts w:ascii="仿宋" w:hAnsi="仿宋"/>
        </w:rPr>
      </w:pPr>
      <w:r>
        <w:rPr>
          <w:rFonts w:hint="eastAsia" w:ascii="仿宋" w:hAnsi="仿宋"/>
        </w:rPr>
        <w:t>（六）公司股东信息。包括期货公司股东名称、注册资本、法定代表人、所属行业、经济类型、持股比例、入股时间、办公地址、公司网址等。</w:t>
      </w:r>
    </w:p>
    <w:p>
      <w:pPr>
        <w:spacing w:line="360" w:lineRule="auto"/>
        <w:ind w:firstLine="480" w:firstLineChars="200"/>
        <w:rPr>
          <w:rFonts w:ascii="仿宋" w:hAnsi="仿宋"/>
        </w:rPr>
      </w:pPr>
      <w:r>
        <w:rPr>
          <w:rFonts w:hint="eastAsia" w:ascii="仿宋" w:hAnsi="仿宋"/>
        </w:rPr>
        <w:t>（七）公司诚信记录。包括监管部门实施的行政处罚等。</w:t>
      </w:r>
    </w:p>
    <w:p>
      <w:pPr>
        <w:spacing w:line="360" w:lineRule="auto"/>
        <w:ind w:firstLine="480" w:firstLineChars="200"/>
        <w:rPr>
          <w:rFonts w:ascii="仿宋" w:hAnsi="仿宋"/>
        </w:rPr>
      </w:pPr>
      <w:r>
        <w:rPr>
          <w:rFonts w:hint="eastAsia" w:ascii="仿宋" w:hAnsi="仿宋"/>
        </w:rPr>
        <w:t>（八）中国证监会要求的其他信息。</w:t>
      </w:r>
    </w:p>
    <w:p>
      <w:pPr>
        <w:spacing w:line="360" w:lineRule="auto"/>
        <w:ind w:firstLine="480" w:firstLineChars="200"/>
        <w:rPr>
          <w:rFonts w:ascii="仿宋" w:hAnsi="仿宋"/>
        </w:rPr>
      </w:pPr>
      <w:r>
        <w:rPr>
          <w:rFonts w:hint="eastAsia" w:ascii="仿宋" w:hAnsi="仿宋"/>
        </w:rPr>
        <w:t>鼓励期货公司公示除以上信息以外的其他信息。</w:t>
      </w:r>
    </w:p>
    <w:p>
      <w:pPr>
        <w:spacing w:line="360" w:lineRule="auto"/>
        <w:ind w:firstLine="480" w:firstLineChars="200"/>
        <w:rPr>
          <w:rFonts w:ascii="仿宋" w:hAnsi="仿宋"/>
        </w:rPr>
      </w:pPr>
      <w:r>
        <w:rPr>
          <w:rFonts w:hint="eastAsia" w:ascii="仿宋" w:hAnsi="仿宋"/>
        </w:rPr>
        <w:t>《期货公司信息公示管理规定》第3条 期货公司应当在公司网站开辟信息公示专栏，公示的信息内容不得少于在公示平台公开的信息。</w:t>
      </w:r>
    </w:p>
    <w:p>
      <w:pPr>
        <w:spacing w:line="360" w:lineRule="auto"/>
        <w:ind w:firstLine="480" w:firstLineChars="200"/>
        <w:rPr>
          <w:rFonts w:ascii="仿宋" w:hAnsi="仿宋"/>
        </w:rPr>
      </w:pPr>
      <w:r>
        <w:rPr>
          <w:rFonts w:hint="eastAsia" w:ascii="仿宋" w:hAnsi="仿宋"/>
        </w:rPr>
        <w:t>《期货公司信息公示管理规定》第4条 期货公司应当在营业场所的信息公示栏中，公告公示平台和公司网址、从业人员信息以及投诉、服务电话等信息。</w:t>
      </w:r>
    </w:p>
    <w:p>
      <w:pPr>
        <w:spacing w:line="360" w:lineRule="auto"/>
        <w:ind w:firstLine="480" w:firstLineChars="200"/>
        <w:rPr>
          <w:rFonts w:ascii="仿宋" w:hAnsi="仿宋"/>
        </w:rPr>
      </w:pPr>
      <w:r>
        <w:rPr>
          <w:rFonts w:hint="eastAsia" w:ascii="仿宋" w:hAnsi="仿宋"/>
        </w:rPr>
        <w:t>《期货公司信息公示管理规定》第11条 公示信息发生变化的，期货公司应当及时通过公示平台在线填报，更新相关内容，并立即报告住所地中国证监会派出机构。本规定第二条（一）项至第（七）项内容发生变化的，期货公司应当在5个工作日内进行更新并报告住所地中国证监会派出机构。</w:t>
      </w:r>
    </w:p>
    <w:p>
      <w:pPr>
        <w:spacing w:line="360" w:lineRule="auto"/>
        <w:ind w:firstLine="480" w:firstLineChars="200"/>
        <w:rPr>
          <w:rFonts w:ascii="仿宋" w:hAnsi="仿宋"/>
        </w:rPr>
      </w:pPr>
      <w:r>
        <w:rPr>
          <w:rFonts w:hint="eastAsia" w:ascii="仿宋" w:hAnsi="仿宋"/>
        </w:rPr>
        <w:t>《期货公司期货投资咨询业务试行办法》第11条  期货公司应当按照信息公示有关规定，在营业场所、公司网站和中国期货业协会网站上公示公司的业务资格、人员的从业资格、服务内容、投诉方式等相关信息。</w:t>
      </w:r>
    </w:p>
    <w:p>
      <w:pPr>
        <w:spacing w:line="360" w:lineRule="auto"/>
        <w:ind w:firstLine="480" w:firstLineChars="200"/>
        <w:rPr>
          <w:rFonts w:ascii="仿宋" w:hAnsi="仿宋"/>
        </w:rPr>
      </w:pPr>
    </w:p>
    <w:p>
      <w:pPr>
        <w:pStyle w:val="4"/>
        <w:spacing w:before="0" w:after="0" w:line="360" w:lineRule="auto"/>
        <w:rPr>
          <w:rFonts w:ascii="仿宋" w:hAnsi="仿宋"/>
          <w:szCs w:val="24"/>
        </w:rPr>
      </w:pPr>
      <w:bookmarkStart w:id="322" w:name="_Toc403654042"/>
      <w:bookmarkStart w:id="323" w:name="_Toc403829841"/>
      <w:bookmarkStart w:id="324" w:name="_Toc410115169"/>
      <w:bookmarkStart w:id="325" w:name="_Toc3896781"/>
      <w:r>
        <w:rPr>
          <w:rFonts w:hint="eastAsia" w:ascii="仿宋" w:hAnsi="仿宋"/>
          <w:kern w:val="0"/>
          <w:szCs w:val="24"/>
        </w:rPr>
        <w:t>（十一）</w:t>
      </w:r>
      <w:r>
        <w:rPr>
          <w:rFonts w:hint="eastAsia" w:ascii="仿宋" w:hAnsi="仿宋"/>
          <w:szCs w:val="24"/>
        </w:rPr>
        <w:t>期货公司投资咨询业务定期报告的有关规定</w:t>
      </w:r>
      <w:bookmarkEnd w:id="322"/>
      <w:bookmarkEnd w:id="323"/>
      <w:bookmarkEnd w:id="324"/>
      <w:bookmarkEnd w:id="325"/>
    </w:p>
    <w:p>
      <w:pPr>
        <w:spacing w:line="360" w:lineRule="auto"/>
        <w:ind w:firstLine="480" w:firstLineChars="200"/>
        <w:rPr>
          <w:rFonts w:ascii="仿宋" w:hAnsi="仿宋"/>
        </w:rPr>
      </w:pPr>
      <w:r>
        <w:rPr>
          <w:rFonts w:hint="eastAsia" w:ascii="仿宋" w:hAnsi="仿宋"/>
        </w:rPr>
        <w:t>依据</w:t>
      </w:r>
      <w:r>
        <w:rPr>
          <w:rFonts w:ascii="仿宋" w:hAnsi="仿宋"/>
        </w:rPr>
        <w:t>:</w:t>
      </w:r>
    </w:p>
    <w:p>
      <w:pPr>
        <w:spacing w:line="360" w:lineRule="auto"/>
        <w:ind w:firstLine="480" w:firstLineChars="200"/>
        <w:rPr>
          <w:rFonts w:ascii="仿宋" w:hAnsi="仿宋"/>
        </w:rPr>
      </w:pPr>
      <w:r>
        <w:rPr>
          <w:rFonts w:hint="eastAsia" w:ascii="仿宋" w:hAnsi="仿宋"/>
        </w:rPr>
        <w:t>《期货公司期货投资咨询业务试行办法》第</w:t>
      </w:r>
      <w:r>
        <w:rPr>
          <w:rFonts w:ascii="仿宋" w:hAnsi="仿宋"/>
        </w:rPr>
        <w:t>28条</w:t>
      </w:r>
      <w:r>
        <w:rPr>
          <w:rFonts w:hint="eastAsia" w:ascii="仿宋" w:hAnsi="仿宋"/>
          <w:b/>
        </w:rPr>
        <w:t xml:space="preserve"> </w:t>
      </w:r>
      <w:r>
        <w:rPr>
          <w:rFonts w:hint="eastAsia" w:ascii="仿宋" w:hAnsi="仿宋"/>
        </w:rPr>
        <w:t>期货公司应当按照规定的内容与格式要求，每月向住所地中国证监会派出机构报送期货投资咨询业务信息。</w:t>
      </w:r>
    </w:p>
    <w:p>
      <w:pPr>
        <w:spacing w:line="360" w:lineRule="auto"/>
        <w:ind w:firstLine="480" w:firstLineChars="200"/>
        <w:rPr>
          <w:rFonts w:ascii="仿宋" w:hAnsi="仿宋"/>
        </w:rPr>
      </w:pPr>
    </w:p>
    <w:p>
      <w:pPr>
        <w:pStyle w:val="4"/>
        <w:spacing w:before="0" w:after="0" w:line="360" w:lineRule="auto"/>
        <w:rPr>
          <w:rFonts w:ascii="仿宋" w:hAnsi="仿宋"/>
          <w:szCs w:val="24"/>
        </w:rPr>
      </w:pPr>
      <w:bookmarkStart w:id="326" w:name="_Toc403654044"/>
      <w:bookmarkStart w:id="327" w:name="_Toc403829842"/>
      <w:bookmarkStart w:id="328" w:name="_Toc410115170"/>
      <w:bookmarkStart w:id="329" w:name="_Toc3896782"/>
      <w:r>
        <w:rPr>
          <w:rFonts w:hint="eastAsia" w:ascii="仿宋" w:hAnsi="仿宋"/>
          <w:kern w:val="0"/>
          <w:szCs w:val="24"/>
        </w:rPr>
        <w:t>（十二）</w:t>
      </w:r>
      <w:r>
        <w:rPr>
          <w:rFonts w:hint="eastAsia" w:ascii="仿宋" w:hAnsi="仿宋"/>
          <w:szCs w:val="24"/>
        </w:rPr>
        <w:t>期货公司公示风险管理基本信息的有关规定</w:t>
      </w:r>
      <w:bookmarkEnd w:id="326"/>
      <w:bookmarkEnd w:id="327"/>
      <w:bookmarkEnd w:id="328"/>
      <w:bookmarkEnd w:id="329"/>
    </w:p>
    <w:p>
      <w:pPr>
        <w:spacing w:line="360" w:lineRule="auto"/>
        <w:ind w:firstLine="480" w:firstLineChars="200"/>
        <w:rPr>
          <w:rFonts w:ascii="仿宋" w:hAnsi="仿宋"/>
        </w:rPr>
      </w:pPr>
      <w:r>
        <w:rPr>
          <w:rFonts w:hint="eastAsia" w:ascii="仿宋" w:hAnsi="仿宋"/>
        </w:rPr>
        <w:t>依据</w:t>
      </w:r>
      <w:r>
        <w:rPr>
          <w:rFonts w:ascii="仿宋" w:hAnsi="仿宋"/>
        </w:rPr>
        <w:t>:</w:t>
      </w:r>
    </w:p>
    <w:p>
      <w:pPr>
        <w:spacing w:line="360" w:lineRule="auto"/>
        <w:ind w:firstLine="480" w:firstLineChars="200"/>
        <w:rPr>
          <w:rFonts w:ascii="仿宋" w:hAnsi="仿宋"/>
        </w:rPr>
      </w:pPr>
      <w:r>
        <w:rPr>
          <w:rFonts w:hint="eastAsia" w:ascii="仿宋" w:hAnsi="仿宋"/>
        </w:rPr>
        <w:t>《期货公司设立子公司开展以风险管理服务为主的业务试点工作指引（修订）》第30条 期货公司应当于向协会备案或报告后10个工作日内在本公司网站对风险管理公司名称、住所地、注册资本、经营范围、备案试点业务和期货账户开立情况进行公示。</w:t>
      </w:r>
    </w:p>
    <w:p>
      <w:pPr>
        <w:pStyle w:val="3"/>
        <w:rPr>
          <w:sz w:val="24"/>
          <w:szCs w:val="24"/>
        </w:rPr>
      </w:pPr>
      <w:bookmarkStart w:id="330" w:name="_Toc399750565"/>
      <w:bookmarkStart w:id="331" w:name="_Toc400553992"/>
      <w:bookmarkStart w:id="332" w:name="_Toc410115171"/>
      <w:bookmarkStart w:id="333" w:name="_Toc3896783"/>
      <w:r>
        <w:rPr>
          <w:rFonts w:hint="eastAsia"/>
          <w:sz w:val="24"/>
          <w:szCs w:val="24"/>
        </w:rPr>
        <w:t>七、关于反洗钱</w:t>
      </w:r>
      <w:bookmarkEnd w:id="330"/>
      <w:bookmarkEnd w:id="331"/>
      <w:bookmarkEnd w:id="332"/>
      <w:bookmarkEnd w:id="333"/>
    </w:p>
    <w:p>
      <w:pPr>
        <w:spacing w:line="360" w:lineRule="auto"/>
        <w:ind w:firstLine="480" w:firstLineChars="200"/>
        <w:rPr>
          <w:rFonts w:ascii="仿宋" w:hAnsi="仿宋"/>
        </w:rPr>
      </w:pPr>
      <w:bookmarkStart w:id="334" w:name="_Toc399750566"/>
      <w:bookmarkStart w:id="335" w:name="_Toc400553998"/>
      <w:bookmarkStart w:id="336" w:name="_Toc410115177"/>
      <w:r>
        <w:rPr>
          <w:rFonts w:hint="eastAsia" w:ascii="仿宋" w:hAnsi="仿宋"/>
        </w:rPr>
        <w:t>掌握洗钱活动的类型、履行反洗钱义务需建立的制度及采取的措施、负责全国反洗钱监督管理工作的主管部门及相互关系、反洗钱义务机构的具体规定、反洗钱义务机构反洗钱、反恐怖融资、反逃税的具体要求及相应法律责任。</w:t>
      </w:r>
    </w:p>
    <w:p>
      <w:pPr>
        <w:spacing w:line="360" w:lineRule="auto"/>
        <w:ind w:firstLine="480" w:firstLineChars="200"/>
        <w:rPr>
          <w:rFonts w:ascii="仿宋" w:hAnsi="仿宋"/>
        </w:rPr>
      </w:pPr>
    </w:p>
    <w:p>
      <w:pPr>
        <w:pStyle w:val="4"/>
        <w:numPr>
          <w:ilvl w:val="0"/>
          <w:numId w:val="4"/>
        </w:numPr>
        <w:spacing w:before="0" w:after="0" w:line="360" w:lineRule="auto"/>
        <w:rPr>
          <w:szCs w:val="24"/>
        </w:rPr>
      </w:pPr>
      <w:bookmarkStart w:id="337" w:name="_Toc400553993"/>
      <w:bookmarkStart w:id="338" w:name="_Toc410115172"/>
      <w:bookmarkStart w:id="339" w:name="_Toc3896784"/>
      <w:r>
        <w:rPr>
          <w:szCs w:val="24"/>
        </w:rPr>
        <w:t>反洗钱的概念</w:t>
      </w:r>
      <w:bookmarkEnd w:id="337"/>
      <w:bookmarkEnd w:id="338"/>
      <w:bookmarkEnd w:id="339"/>
    </w:p>
    <w:p>
      <w:pPr>
        <w:spacing w:line="360" w:lineRule="auto"/>
        <w:ind w:firstLine="480" w:firstLineChars="200"/>
        <w:rPr>
          <w:rFonts w:ascii="仿宋" w:hAnsi="仿宋"/>
          <w:b/>
        </w:rPr>
      </w:pPr>
      <w:r>
        <w:rPr>
          <w:rFonts w:hint="eastAsia" w:ascii="仿宋" w:hAnsi="仿宋"/>
        </w:rPr>
        <w:t>依据：</w:t>
      </w:r>
    </w:p>
    <w:p>
      <w:pPr>
        <w:spacing w:line="360" w:lineRule="auto"/>
        <w:ind w:firstLine="480" w:firstLineChars="200"/>
        <w:rPr>
          <w:rFonts w:ascii="仿宋" w:hAnsi="仿宋"/>
        </w:rPr>
      </w:pPr>
      <w:r>
        <w:rPr>
          <w:rFonts w:ascii="仿宋" w:hAnsi="仿宋"/>
        </w:rPr>
        <w:t>《中华人民共和国反洗钱法》</w:t>
      </w:r>
      <w:r>
        <w:rPr>
          <w:rFonts w:hint="eastAsia" w:ascii="仿宋" w:hAnsi="仿宋"/>
        </w:rPr>
        <w:t>第二条 本法所称反洗钱，是指为了预防通过各种方式掩饰、隐瞒毒品犯罪、黑社会性质的组织犯罪、恐怖活动犯罪、走私犯罪、贪污贿赂犯罪、破坏金融管理秩序犯罪、金融诈骗犯罪等犯罪所得及其收益的来源和性质的洗钱活动，依照本法规定采取相关措施的行为。</w:t>
      </w:r>
      <w:r>
        <w:rPr>
          <w:rFonts w:hint="eastAsia" w:ascii="仿宋" w:hAnsi="仿宋"/>
        </w:rPr>
        <w:br w:type="textWrapping"/>
      </w:r>
      <w:r>
        <w:rPr>
          <w:rFonts w:hint="eastAsia" w:ascii="仿宋" w:hAnsi="仿宋"/>
        </w:rPr>
        <w:t xml:space="preserve">    </w:t>
      </w:r>
    </w:p>
    <w:p>
      <w:pPr>
        <w:pStyle w:val="4"/>
        <w:numPr>
          <w:ilvl w:val="0"/>
          <w:numId w:val="4"/>
        </w:numPr>
        <w:spacing w:before="0" w:after="0" w:line="360" w:lineRule="auto"/>
        <w:rPr>
          <w:rFonts w:ascii="仿宋" w:hAnsi="仿宋"/>
          <w:kern w:val="0"/>
          <w:szCs w:val="24"/>
        </w:rPr>
      </w:pPr>
      <w:bookmarkStart w:id="340" w:name="_Toc410115173"/>
      <w:bookmarkStart w:id="341" w:name="_Toc3896785"/>
      <w:bookmarkStart w:id="342" w:name="_Toc400553994"/>
      <w:r>
        <w:rPr>
          <w:rFonts w:hint="eastAsia" w:ascii="仿宋" w:hAnsi="仿宋"/>
          <w:kern w:val="0"/>
          <w:szCs w:val="24"/>
        </w:rPr>
        <w:t>义务机构履行反洗钱义务的必要条件</w:t>
      </w:r>
      <w:bookmarkEnd w:id="340"/>
      <w:bookmarkEnd w:id="341"/>
      <w:bookmarkEnd w:id="342"/>
    </w:p>
    <w:p>
      <w:pPr>
        <w:spacing w:line="360" w:lineRule="auto"/>
        <w:ind w:firstLine="480" w:firstLineChars="200"/>
        <w:rPr>
          <w:rFonts w:ascii="仿宋" w:hAnsi="仿宋"/>
          <w:b/>
        </w:rPr>
      </w:pPr>
      <w:r>
        <w:rPr>
          <w:rFonts w:hint="eastAsia" w:ascii="仿宋" w:hAnsi="仿宋"/>
        </w:rPr>
        <w:t>依据：</w:t>
      </w:r>
    </w:p>
    <w:p>
      <w:pPr>
        <w:spacing w:line="360" w:lineRule="auto"/>
        <w:ind w:firstLine="480" w:firstLineChars="200"/>
        <w:rPr>
          <w:rFonts w:ascii="仿宋" w:hAnsi="仿宋"/>
        </w:rPr>
      </w:pPr>
      <w:r>
        <w:rPr>
          <w:rFonts w:hint="eastAsia" w:ascii="仿宋" w:hAnsi="仿宋"/>
        </w:rPr>
        <w:t>《</w:t>
      </w:r>
      <w:r>
        <w:rPr>
          <w:rFonts w:ascii="仿宋" w:hAnsi="仿宋"/>
        </w:rPr>
        <w:t>中华人民共和国反洗钱法》</w:t>
      </w:r>
      <w:r>
        <w:rPr>
          <w:rFonts w:hint="eastAsia" w:ascii="仿宋" w:hAnsi="仿宋"/>
        </w:rPr>
        <w:t>第三条 在中华人民共和国境内设立的金融机构和按照规定应当履行反洗钱义务的特定非金融机构，应当依法采取预防、监控措施，建立健全客户身份识别制度、客户身份资料和交易记录保存制度、大额交易和可疑交易报告制度，履行反洗钱义务。</w:t>
      </w:r>
    </w:p>
    <w:p>
      <w:pPr>
        <w:spacing w:line="360" w:lineRule="auto"/>
        <w:ind w:firstLine="480" w:firstLineChars="200"/>
        <w:rPr>
          <w:rFonts w:ascii="仿宋" w:hAnsi="仿宋"/>
        </w:rPr>
      </w:pPr>
    </w:p>
    <w:p>
      <w:pPr>
        <w:pStyle w:val="4"/>
        <w:numPr>
          <w:ilvl w:val="0"/>
          <w:numId w:val="4"/>
        </w:numPr>
        <w:spacing w:before="0" w:after="0" w:line="360" w:lineRule="auto"/>
        <w:rPr>
          <w:rFonts w:ascii="仿宋" w:hAnsi="仿宋"/>
          <w:kern w:val="0"/>
          <w:szCs w:val="24"/>
        </w:rPr>
      </w:pPr>
      <w:bookmarkStart w:id="343" w:name="_Toc410115175"/>
      <w:bookmarkStart w:id="344" w:name="_Toc3896786"/>
      <w:bookmarkStart w:id="345" w:name="_Toc400553996"/>
      <w:r>
        <w:rPr>
          <w:rFonts w:hint="eastAsia" w:ascii="仿宋" w:hAnsi="仿宋"/>
          <w:kern w:val="0"/>
          <w:szCs w:val="24"/>
        </w:rPr>
        <w:t>义务机构的反洗钱义务</w:t>
      </w:r>
      <w:bookmarkEnd w:id="343"/>
      <w:bookmarkEnd w:id="344"/>
      <w:bookmarkEnd w:id="345"/>
    </w:p>
    <w:p>
      <w:pPr>
        <w:spacing w:line="360" w:lineRule="auto"/>
        <w:ind w:firstLine="480" w:firstLineChars="200"/>
        <w:rPr>
          <w:rFonts w:ascii="仿宋" w:hAnsi="仿宋"/>
          <w:b/>
        </w:rPr>
      </w:pPr>
      <w:r>
        <w:rPr>
          <w:rFonts w:hint="eastAsia" w:ascii="仿宋" w:hAnsi="仿宋"/>
        </w:rPr>
        <w:t>依据：</w:t>
      </w:r>
    </w:p>
    <w:p>
      <w:pPr>
        <w:spacing w:line="360" w:lineRule="auto"/>
        <w:ind w:firstLine="480" w:firstLineChars="200"/>
        <w:rPr>
          <w:rFonts w:ascii="仿宋" w:hAnsi="仿宋"/>
        </w:rPr>
      </w:pPr>
      <w:r>
        <w:rPr>
          <w:rFonts w:hint="eastAsia" w:ascii="仿宋" w:hAnsi="仿宋"/>
        </w:rPr>
        <w:t>《</w:t>
      </w:r>
      <w:r>
        <w:rPr>
          <w:rFonts w:ascii="仿宋" w:hAnsi="仿宋"/>
        </w:rPr>
        <w:t>中华人民共和国反洗钱法》</w:t>
      </w:r>
      <w:r>
        <w:rPr>
          <w:rFonts w:hint="eastAsia" w:ascii="仿宋" w:hAnsi="仿宋"/>
        </w:rPr>
        <w:t>第十五条 国务院反洗钱行政主管部门负责全国的反洗钱监督管理工作。国务院有关部门、机构在各自的职责范围内履行反洗钱金融机构应当设立反洗钱专门机构或者指定内设机构负责反洗钱工作。</w:t>
      </w:r>
    </w:p>
    <w:p>
      <w:pPr>
        <w:spacing w:line="360" w:lineRule="auto"/>
        <w:ind w:firstLine="480" w:firstLineChars="200"/>
        <w:rPr>
          <w:rFonts w:ascii="仿宋" w:hAnsi="仿宋"/>
        </w:rPr>
      </w:pPr>
      <w:r>
        <w:rPr>
          <w:rFonts w:hint="eastAsia" w:ascii="仿宋" w:hAnsi="仿宋"/>
        </w:rPr>
        <w:t>第十六条 金融机构应当按照规定建立客户身份识别制度。</w:t>
      </w:r>
    </w:p>
    <w:p>
      <w:pPr>
        <w:spacing w:line="360" w:lineRule="auto"/>
        <w:ind w:firstLine="480" w:firstLineChars="200"/>
        <w:rPr>
          <w:rFonts w:ascii="仿宋" w:hAnsi="仿宋"/>
        </w:rPr>
      </w:pPr>
      <w:r>
        <w:rPr>
          <w:rFonts w:hint="eastAsia" w:ascii="仿宋" w:hAnsi="仿宋"/>
        </w:rPr>
        <w:t>金融机构在与客户建立业务关系或者为客户提供规定金额以上的现金汇款、现钞兑换、票据兑付等一次性金融服务时，应当要求客户出示真实有效的身份证件或者其他身份证明文件，进行核对并登记。</w:t>
      </w:r>
    </w:p>
    <w:p>
      <w:pPr>
        <w:spacing w:line="360" w:lineRule="auto"/>
        <w:ind w:firstLine="480" w:firstLineChars="200"/>
        <w:rPr>
          <w:rFonts w:ascii="仿宋" w:hAnsi="仿宋"/>
        </w:rPr>
      </w:pPr>
      <w:r>
        <w:rPr>
          <w:rFonts w:hint="eastAsia" w:ascii="仿宋" w:hAnsi="仿宋"/>
        </w:rPr>
        <w:t>客户由他人代理办理业务的，金融机构应当同时对代理人和被代理人的身份证件或者其他身份证明文件进行核对并登记。</w:t>
      </w:r>
    </w:p>
    <w:p>
      <w:pPr>
        <w:spacing w:line="360" w:lineRule="auto"/>
        <w:ind w:firstLine="480" w:firstLineChars="200"/>
        <w:rPr>
          <w:rFonts w:ascii="仿宋" w:hAnsi="仿宋"/>
        </w:rPr>
      </w:pPr>
      <w:r>
        <w:rPr>
          <w:rFonts w:hint="eastAsia" w:ascii="仿宋" w:hAnsi="仿宋"/>
        </w:rPr>
        <w:t>与客户建立人身保险、信托等业务关系，合同的受益人不是客户本人的，金融机构还应当对受益人的身份证件或者其他身份证明文件进行核对并登记。</w:t>
      </w:r>
    </w:p>
    <w:p>
      <w:pPr>
        <w:spacing w:line="360" w:lineRule="auto"/>
        <w:ind w:firstLine="480" w:firstLineChars="200"/>
        <w:rPr>
          <w:rFonts w:ascii="仿宋" w:hAnsi="仿宋"/>
        </w:rPr>
      </w:pPr>
      <w:r>
        <w:rPr>
          <w:rFonts w:hint="eastAsia" w:ascii="仿宋" w:hAnsi="仿宋"/>
        </w:rPr>
        <w:t>金融机构不得为身份不明的客户提供服务或者与其进行交易，不得为客户开立匿名账户或者假名账户。</w:t>
      </w:r>
    </w:p>
    <w:p>
      <w:pPr>
        <w:spacing w:line="360" w:lineRule="auto"/>
        <w:ind w:firstLine="480" w:firstLineChars="200"/>
        <w:rPr>
          <w:rFonts w:ascii="仿宋" w:hAnsi="仿宋"/>
        </w:rPr>
      </w:pPr>
      <w:r>
        <w:rPr>
          <w:rFonts w:hint="eastAsia" w:ascii="仿宋" w:hAnsi="仿宋"/>
        </w:rPr>
        <w:t>金融机构对先前获得的客户身份资料的真实性、有效性或者完整性有疑问的，应当重新识别客户身份。</w:t>
      </w:r>
    </w:p>
    <w:p>
      <w:pPr>
        <w:spacing w:line="360" w:lineRule="auto"/>
        <w:ind w:firstLine="480" w:firstLineChars="200"/>
        <w:rPr>
          <w:rFonts w:ascii="仿宋" w:hAnsi="仿宋"/>
        </w:rPr>
      </w:pPr>
      <w:r>
        <w:rPr>
          <w:rFonts w:hint="eastAsia" w:ascii="仿宋" w:hAnsi="仿宋"/>
        </w:rPr>
        <w:t>任何单位和个人在与金融机构建立业务关系或者要求金融机构为其提供一次性金融服务时，都应当提供真实有效的身份证件或者其他身份证明文件。</w:t>
      </w:r>
    </w:p>
    <w:p>
      <w:pPr>
        <w:spacing w:line="360" w:lineRule="auto"/>
        <w:ind w:firstLine="480" w:firstLineChars="200"/>
        <w:rPr>
          <w:rFonts w:ascii="仿宋" w:hAnsi="仿宋"/>
        </w:rPr>
      </w:pPr>
      <w:r>
        <w:rPr>
          <w:rFonts w:hint="eastAsia" w:ascii="仿宋" w:hAnsi="仿宋"/>
        </w:rPr>
        <w:t>第十七条 金融机构通过第三方识别客户身份的，应当确保第三方已经采取符合本法要求的客户身份识别措施；第三方未采取符合本法要求的客户身份识别措施的，由该金融机构承担未履行客户身份识别义务的责任。</w:t>
      </w:r>
    </w:p>
    <w:p>
      <w:pPr>
        <w:spacing w:line="360" w:lineRule="auto"/>
        <w:ind w:firstLine="480" w:firstLineChars="200"/>
        <w:rPr>
          <w:rFonts w:ascii="仿宋" w:hAnsi="仿宋"/>
        </w:rPr>
      </w:pPr>
      <w:r>
        <w:rPr>
          <w:rFonts w:hint="eastAsia" w:ascii="仿宋" w:hAnsi="仿宋"/>
        </w:rPr>
        <w:t>第十八条 金融机构进行客户身份识别，认为必要时，可以向公安、工商行政管理等部门核实客户的有关身份信息。</w:t>
      </w:r>
    </w:p>
    <w:p>
      <w:pPr>
        <w:spacing w:line="360" w:lineRule="auto"/>
        <w:ind w:firstLine="480" w:firstLineChars="200"/>
        <w:rPr>
          <w:rFonts w:ascii="仿宋" w:hAnsi="仿宋"/>
        </w:rPr>
      </w:pPr>
      <w:r>
        <w:rPr>
          <w:rFonts w:hint="eastAsia" w:ascii="仿宋" w:hAnsi="仿宋"/>
        </w:rPr>
        <w:t>第十九条 金融机构应当按照规定建立客户身份资料和交易记录保存制度。</w:t>
      </w:r>
      <w:r>
        <w:rPr>
          <w:rFonts w:hint="eastAsia" w:ascii="仿宋" w:hAnsi="仿宋"/>
        </w:rPr>
        <w:br w:type="textWrapping"/>
      </w:r>
      <w:r>
        <w:rPr>
          <w:rFonts w:hint="eastAsia" w:ascii="仿宋" w:hAnsi="仿宋"/>
        </w:rPr>
        <w:t>在业务关系存续期间，客户身份资料发生变更的，应当及时更新客户身份资料。</w:t>
      </w:r>
      <w:r>
        <w:rPr>
          <w:rFonts w:hint="eastAsia" w:ascii="仿宋" w:hAnsi="仿宋"/>
        </w:rPr>
        <w:br w:type="textWrapping"/>
      </w:r>
      <w:r>
        <w:rPr>
          <w:rFonts w:hint="eastAsia" w:ascii="仿宋" w:hAnsi="仿宋"/>
        </w:rPr>
        <w:t>客户身份资料在业务关系结束后、客户交易信息在交易结束后，应当至少保存五年。</w:t>
      </w:r>
    </w:p>
    <w:p>
      <w:pPr>
        <w:spacing w:line="360" w:lineRule="auto"/>
        <w:ind w:firstLine="480" w:firstLineChars="200"/>
        <w:rPr>
          <w:rFonts w:ascii="仿宋" w:hAnsi="仿宋"/>
        </w:rPr>
      </w:pPr>
      <w:r>
        <w:rPr>
          <w:rFonts w:hint="eastAsia" w:ascii="仿宋" w:hAnsi="仿宋"/>
        </w:rPr>
        <w:t>金融机构破产和解散时，应当将客户身份资料和客户交易信息移交国务院有关部门指定的机构。</w:t>
      </w:r>
    </w:p>
    <w:p>
      <w:pPr>
        <w:spacing w:line="360" w:lineRule="auto"/>
        <w:ind w:firstLine="480" w:firstLineChars="200"/>
        <w:rPr>
          <w:rFonts w:ascii="仿宋" w:hAnsi="仿宋"/>
        </w:rPr>
      </w:pPr>
      <w:r>
        <w:rPr>
          <w:rFonts w:hint="eastAsia" w:ascii="仿宋" w:hAnsi="仿宋"/>
        </w:rPr>
        <w:t>第二十条 金融机构应当按照规定执行大额交易和可疑交易报告制度。</w:t>
      </w:r>
    </w:p>
    <w:p>
      <w:pPr>
        <w:spacing w:line="360" w:lineRule="auto"/>
        <w:ind w:firstLine="480" w:firstLineChars="200"/>
        <w:rPr>
          <w:rFonts w:ascii="仿宋" w:hAnsi="仿宋"/>
        </w:rPr>
      </w:pPr>
      <w:r>
        <w:rPr>
          <w:rFonts w:hint="eastAsia" w:ascii="仿宋" w:hAnsi="仿宋"/>
        </w:rPr>
        <w:t>金融机构办理的单笔交易或者在规定期限内的累计交易超过规定金额或者发现可疑交易的，应当及时向反洗钱信息中心报告。</w:t>
      </w:r>
    </w:p>
    <w:p>
      <w:pPr>
        <w:spacing w:line="360" w:lineRule="auto"/>
        <w:ind w:firstLine="480" w:firstLineChars="200"/>
        <w:rPr>
          <w:rFonts w:ascii="仿宋" w:hAnsi="仿宋"/>
        </w:rPr>
      </w:pPr>
      <w:r>
        <w:rPr>
          <w:rFonts w:hint="eastAsia" w:ascii="仿宋" w:hAnsi="仿宋"/>
        </w:rPr>
        <w:t>第二十一条 金融机构建立客户身份识别制度、客户身份资料和交易记录保存制度的具体办法，由国务院反洗钱行政主管部门会同国务院有关金融监督管理机构制定。金融机构大额交易和可疑交易报告的具体办法，由国务院反洗钱行政主管部门制定。</w:t>
      </w:r>
    </w:p>
    <w:p>
      <w:pPr>
        <w:spacing w:line="360" w:lineRule="auto"/>
        <w:ind w:firstLine="480" w:firstLineChars="200"/>
        <w:rPr>
          <w:rFonts w:ascii="仿宋" w:hAnsi="仿宋"/>
        </w:rPr>
      </w:pPr>
      <w:r>
        <w:rPr>
          <w:rFonts w:hint="eastAsia" w:ascii="仿宋" w:hAnsi="仿宋"/>
        </w:rPr>
        <w:t>第二十二条 金融机构应当按照反洗钱预防、监控制度的要求，开展反洗钱培训和宣传工作。</w:t>
      </w:r>
    </w:p>
    <w:p>
      <w:pPr>
        <w:spacing w:line="360" w:lineRule="auto"/>
        <w:ind w:firstLine="480" w:firstLineChars="200"/>
        <w:rPr>
          <w:rFonts w:ascii="仿宋" w:hAnsi="仿宋"/>
        </w:rPr>
      </w:pPr>
    </w:p>
    <w:p>
      <w:pPr>
        <w:pStyle w:val="4"/>
        <w:numPr>
          <w:ilvl w:val="0"/>
          <w:numId w:val="4"/>
        </w:numPr>
        <w:spacing w:before="0" w:after="0" w:line="360" w:lineRule="auto"/>
        <w:rPr>
          <w:rFonts w:ascii="仿宋" w:hAnsi="仿宋"/>
          <w:kern w:val="0"/>
          <w:szCs w:val="24"/>
        </w:rPr>
      </w:pPr>
      <w:bookmarkStart w:id="346" w:name="_Toc400553997"/>
      <w:bookmarkStart w:id="347" w:name="_Toc410115176"/>
      <w:bookmarkStart w:id="348" w:name="_Toc3896787"/>
      <w:r>
        <w:rPr>
          <w:rFonts w:hint="eastAsia" w:ascii="仿宋" w:hAnsi="仿宋"/>
          <w:kern w:val="0"/>
          <w:szCs w:val="24"/>
        </w:rPr>
        <w:t>义务机构反洗钱法律责任</w:t>
      </w:r>
      <w:bookmarkEnd w:id="346"/>
      <w:bookmarkEnd w:id="347"/>
      <w:bookmarkEnd w:id="348"/>
    </w:p>
    <w:p>
      <w:pPr>
        <w:spacing w:line="360" w:lineRule="auto"/>
        <w:ind w:firstLine="480" w:firstLineChars="200"/>
        <w:rPr>
          <w:rFonts w:ascii="仿宋" w:hAnsi="仿宋"/>
          <w:b/>
        </w:rPr>
      </w:pPr>
      <w:r>
        <w:rPr>
          <w:rFonts w:hint="eastAsia" w:ascii="仿宋" w:hAnsi="仿宋"/>
        </w:rPr>
        <w:t>依据：</w:t>
      </w:r>
    </w:p>
    <w:p>
      <w:pPr>
        <w:spacing w:line="360" w:lineRule="auto"/>
        <w:ind w:firstLine="480" w:firstLineChars="200"/>
        <w:rPr>
          <w:rFonts w:ascii="仿宋" w:hAnsi="仿宋"/>
        </w:rPr>
      </w:pPr>
      <w:r>
        <w:rPr>
          <w:rFonts w:hint="eastAsia" w:ascii="仿宋" w:hAnsi="仿宋"/>
        </w:rPr>
        <w:t>《</w:t>
      </w:r>
      <w:r>
        <w:rPr>
          <w:rFonts w:ascii="仿宋" w:hAnsi="仿宋"/>
        </w:rPr>
        <w:t>中华人民共和国反洗钱法》</w:t>
      </w:r>
      <w:r>
        <w:rPr>
          <w:rFonts w:hint="eastAsia" w:ascii="仿宋" w:hAnsi="仿宋"/>
        </w:rPr>
        <w:t>第三十一条 金融机构有下列行为之一的，由国务院反洗钱行政主管部门或者其授权的设区的市一级以上派出机构责令限期改正；情节严重的，建议有关金融监督管理机构依法责令金融机构对直接负责的董事、高级管理人员和其他直接责任人员给予纪律处分：</w:t>
      </w:r>
    </w:p>
    <w:p>
      <w:pPr>
        <w:spacing w:line="360" w:lineRule="auto"/>
        <w:ind w:firstLine="480" w:firstLineChars="200"/>
        <w:rPr>
          <w:rFonts w:ascii="仿宋" w:hAnsi="仿宋"/>
        </w:rPr>
      </w:pPr>
      <w:r>
        <w:rPr>
          <w:rFonts w:hint="eastAsia" w:ascii="仿宋" w:hAnsi="仿宋"/>
        </w:rPr>
        <w:t>(一)未按照规定建立反洗钱内部控制制度的；</w:t>
      </w:r>
    </w:p>
    <w:p>
      <w:pPr>
        <w:spacing w:line="360" w:lineRule="auto"/>
        <w:ind w:firstLine="480" w:firstLineChars="200"/>
        <w:rPr>
          <w:rFonts w:ascii="仿宋" w:hAnsi="仿宋"/>
        </w:rPr>
      </w:pPr>
      <w:r>
        <w:rPr>
          <w:rFonts w:hint="eastAsia" w:ascii="仿宋" w:hAnsi="仿宋"/>
        </w:rPr>
        <w:t>(二)未按照规定设立反洗钱专门机构或者指定内设机构负责反洗钱工作的；</w:t>
      </w:r>
    </w:p>
    <w:p>
      <w:pPr>
        <w:spacing w:line="360" w:lineRule="auto"/>
        <w:ind w:firstLine="480" w:firstLineChars="200"/>
        <w:rPr>
          <w:rFonts w:ascii="仿宋" w:hAnsi="仿宋"/>
        </w:rPr>
      </w:pPr>
      <w:r>
        <w:rPr>
          <w:rFonts w:hint="eastAsia" w:ascii="仿宋" w:hAnsi="仿宋"/>
        </w:rPr>
        <w:t>(三)未按照规定对职工进行反洗钱培训的。</w:t>
      </w:r>
    </w:p>
    <w:p>
      <w:pPr>
        <w:spacing w:line="360" w:lineRule="auto"/>
        <w:ind w:firstLine="480" w:firstLineChars="200"/>
        <w:rPr>
          <w:rFonts w:ascii="仿宋" w:hAnsi="仿宋"/>
        </w:rPr>
      </w:pPr>
      <w:r>
        <w:rPr>
          <w:rFonts w:hint="eastAsia" w:ascii="仿宋" w:hAnsi="仿宋"/>
        </w:rPr>
        <w:t>第三十二条 金融机构有下列行为之一的，由国务院反洗钱行政主管部门或者其授权的设区的市一级以上派出机构责令限期改正；情节严重的，处二十万元以上五十万元以下罚款，并对直接负责的董事、高级管理人员和其他直接责任人员，处一万元以上五万元以下罚款：</w:t>
      </w:r>
    </w:p>
    <w:p>
      <w:pPr>
        <w:spacing w:line="360" w:lineRule="auto"/>
        <w:ind w:firstLine="480" w:firstLineChars="200"/>
        <w:rPr>
          <w:rFonts w:ascii="仿宋" w:hAnsi="仿宋"/>
        </w:rPr>
      </w:pPr>
      <w:bookmarkStart w:id="349" w:name="_Hlk3642324"/>
      <w:r>
        <w:rPr>
          <w:rFonts w:hint="eastAsia" w:ascii="仿宋" w:hAnsi="仿宋"/>
        </w:rPr>
        <w:t>(一)未按照规定履行客户身份识别义务的；</w:t>
      </w:r>
    </w:p>
    <w:p>
      <w:pPr>
        <w:spacing w:line="360" w:lineRule="auto"/>
        <w:ind w:firstLine="480" w:firstLineChars="200"/>
        <w:rPr>
          <w:rFonts w:ascii="仿宋" w:hAnsi="仿宋"/>
        </w:rPr>
      </w:pPr>
      <w:r>
        <w:rPr>
          <w:rFonts w:hint="eastAsia" w:ascii="仿宋" w:hAnsi="仿宋"/>
        </w:rPr>
        <w:t>(二)未按照规定保存客户身份资料和交易记录的；</w:t>
      </w:r>
    </w:p>
    <w:p>
      <w:pPr>
        <w:spacing w:line="360" w:lineRule="auto"/>
        <w:ind w:firstLine="480" w:firstLineChars="200"/>
        <w:rPr>
          <w:rFonts w:ascii="仿宋" w:hAnsi="仿宋"/>
        </w:rPr>
      </w:pPr>
      <w:r>
        <w:rPr>
          <w:rFonts w:hint="eastAsia" w:ascii="仿宋" w:hAnsi="仿宋"/>
        </w:rPr>
        <w:t>(三)未按照规定报送大额交易报告或者可疑交易报告的；</w:t>
      </w:r>
    </w:p>
    <w:bookmarkEnd w:id="349"/>
    <w:p>
      <w:pPr>
        <w:spacing w:line="360" w:lineRule="auto"/>
        <w:ind w:firstLine="480" w:firstLineChars="200"/>
        <w:rPr>
          <w:rFonts w:ascii="仿宋" w:hAnsi="仿宋"/>
        </w:rPr>
      </w:pPr>
      <w:r>
        <w:rPr>
          <w:rFonts w:hint="eastAsia" w:ascii="仿宋" w:hAnsi="仿宋"/>
        </w:rPr>
        <w:t>(四)与身份不明的客户进行交易或者为客户开立匿名账户、假名账户的；</w:t>
      </w:r>
    </w:p>
    <w:p>
      <w:pPr>
        <w:spacing w:line="360" w:lineRule="auto"/>
        <w:ind w:firstLine="480" w:firstLineChars="200"/>
        <w:rPr>
          <w:rFonts w:ascii="仿宋" w:hAnsi="仿宋"/>
        </w:rPr>
      </w:pPr>
      <w:r>
        <w:rPr>
          <w:rFonts w:hint="eastAsia" w:ascii="仿宋" w:hAnsi="仿宋"/>
        </w:rPr>
        <w:t>(五)违反保密规定，泄露有关信息的；</w:t>
      </w:r>
    </w:p>
    <w:p>
      <w:pPr>
        <w:spacing w:line="360" w:lineRule="auto"/>
        <w:ind w:firstLine="480" w:firstLineChars="200"/>
        <w:rPr>
          <w:rFonts w:ascii="仿宋" w:hAnsi="仿宋"/>
        </w:rPr>
      </w:pPr>
      <w:r>
        <w:rPr>
          <w:rFonts w:hint="eastAsia" w:ascii="仿宋" w:hAnsi="仿宋"/>
        </w:rPr>
        <w:t>(六)拒绝、阻碍反洗钱检查、调查的；</w:t>
      </w:r>
    </w:p>
    <w:p>
      <w:pPr>
        <w:spacing w:line="360" w:lineRule="auto"/>
        <w:ind w:firstLine="480" w:firstLineChars="200"/>
        <w:rPr>
          <w:rFonts w:ascii="仿宋" w:hAnsi="仿宋"/>
        </w:rPr>
      </w:pPr>
      <w:r>
        <w:rPr>
          <w:rFonts w:hint="eastAsia" w:ascii="仿宋" w:hAnsi="仿宋"/>
        </w:rPr>
        <w:t>(七)拒绝提供调查材料或者故意提供虚假材料的。</w:t>
      </w:r>
    </w:p>
    <w:p>
      <w:pPr>
        <w:spacing w:line="360" w:lineRule="auto"/>
        <w:ind w:firstLine="480" w:firstLineChars="200"/>
        <w:rPr>
          <w:rFonts w:ascii="仿宋" w:hAnsi="仿宋"/>
        </w:rPr>
      </w:pPr>
      <w:r>
        <w:rPr>
          <w:rFonts w:hint="eastAsia" w:ascii="仿宋" w:hAnsi="仿宋"/>
        </w:rPr>
        <w:t>金融机构有前款行为，</w:t>
      </w:r>
      <w:bookmarkStart w:id="350" w:name="_Hlk3642389"/>
      <w:r>
        <w:rPr>
          <w:rFonts w:hint="eastAsia" w:ascii="仿宋" w:hAnsi="仿宋"/>
        </w:rPr>
        <w:t>致使洗钱后果发生的</w:t>
      </w:r>
      <w:bookmarkEnd w:id="350"/>
      <w:r>
        <w:rPr>
          <w:rFonts w:hint="eastAsia" w:ascii="仿宋" w:hAnsi="仿宋"/>
        </w:rPr>
        <w:t>，处五十万元以上五百万元以下罚款，</w:t>
      </w:r>
      <w:bookmarkStart w:id="351" w:name="_Hlk3642543"/>
      <w:r>
        <w:rPr>
          <w:rFonts w:hint="eastAsia" w:ascii="仿宋" w:hAnsi="仿宋"/>
        </w:rPr>
        <w:t>并对直接负责的董事、高级管理人员和其他直接责任人员处五万元以上五十万元以下罚款</w:t>
      </w:r>
      <w:bookmarkEnd w:id="351"/>
      <w:r>
        <w:rPr>
          <w:rFonts w:hint="eastAsia" w:ascii="仿宋" w:hAnsi="仿宋"/>
        </w:rPr>
        <w:t>；情节特别严重的，反洗钱行政主管部门可以建议有关金融监督管理机构责令停业整顿或者吊销其经营许可证。</w:t>
      </w:r>
    </w:p>
    <w:p>
      <w:pPr>
        <w:spacing w:line="360" w:lineRule="auto"/>
        <w:ind w:firstLine="480" w:firstLineChars="200"/>
        <w:rPr>
          <w:rFonts w:ascii="仿宋" w:hAnsi="仿宋"/>
        </w:rPr>
      </w:pPr>
      <w:r>
        <w:rPr>
          <w:rFonts w:hint="eastAsia" w:ascii="仿宋" w:hAnsi="仿宋"/>
        </w:rPr>
        <w:t>对有前两款规定情形的金融机构直接负责的董事、高级管理人员和其他直接责任人员，反洗钱行政主管部门可以建议有关金融监督管理机构依法责令金融机构给予纪律处分，或者建议依法取消其任职资格、禁止其从事有关金融行业工作。</w:t>
      </w:r>
    </w:p>
    <w:p>
      <w:pPr>
        <w:spacing w:line="360" w:lineRule="auto"/>
        <w:ind w:firstLine="480" w:firstLineChars="200"/>
        <w:rPr>
          <w:rFonts w:ascii="仿宋" w:hAnsi="仿宋"/>
        </w:rPr>
      </w:pPr>
      <w:r>
        <w:rPr>
          <w:rFonts w:hint="eastAsia" w:ascii="仿宋" w:hAnsi="仿宋"/>
        </w:rPr>
        <w:t>第三十三条 违反本法规定，构成犯罪的，依法追究刑事责任。</w:t>
      </w:r>
    </w:p>
    <w:p>
      <w:pPr>
        <w:spacing w:line="360" w:lineRule="auto"/>
        <w:ind w:firstLine="480" w:firstLineChars="200"/>
        <w:rPr>
          <w:rFonts w:ascii="仿宋" w:hAnsi="仿宋"/>
        </w:rPr>
      </w:pPr>
    </w:p>
    <w:p>
      <w:pPr>
        <w:pStyle w:val="4"/>
        <w:numPr>
          <w:ilvl w:val="0"/>
          <w:numId w:val="4"/>
        </w:numPr>
        <w:spacing w:before="0" w:after="0" w:line="360" w:lineRule="auto"/>
        <w:rPr>
          <w:rFonts w:ascii="仿宋" w:hAnsi="仿宋"/>
          <w:kern w:val="0"/>
          <w:szCs w:val="24"/>
        </w:rPr>
      </w:pPr>
      <w:bookmarkStart w:id="352" w:name="_Toc3896788"/>
      <w:r>
        <w:rPr>
          <w:rFonts w:hint="eastAsia" w:ascii="仿宋" w:hAnsi="仿宋"/>
          <w:kern w:val="0"/>
          <w:szCs w:val="24"/>
        </w:rPr>
        <w:t>客户身份初次识别</w:t>
      </w:r>
      <w:bookmarkEnd w:id="352"/>
    </w:p>
    <w:p>
      <w:pPr>
        <w:spacing w:line="360" w:lineRule="auto"/>
        <w:ind w:firstLine="420"/>
        <w:rPr>
          <w:rFonts w:ascii="仿宋" w:hAnsi="仿宋"/>
        </w:rPr>
      </w:pPr>
      <w:r>
        <w:rPr>
          <w:rFonts w:hint="eastAsia" w:ascii="仿宋" w:hAnsi="仿宋"/>
        </w:rPr>
        <w:t>依据：</w:t>
      </w:r>
    </w:p>
    <w:p>
      <w:pPr>
        <w:spacing w:line="360" w:lineRule="auto"/>
        <w:ind w:firstLine="420"/>
        <w:rPr>
          <w:rFonts w:ascii="仿宋" w:hAnsi="仿宋"/>
        </w:rPr>
      </w:pPr>
      <w:r>
        <w:rPr>
          <w:rFonts w:ascii="仿宋" w:hAnsi="仿宋"/>
        </w:rPr>
        <w:t>《</w:t>
      </w:r>
      <w:r>
        <w:rPr>
          <w:rFonts w:hint="eastAsia" w:ascii="仿宋" w:hAnsi="仿宋"/>
        </w:rPr>
        <w:t>金融机构客户身份识别和客户身份资料及交易记录保存管理办法（2007）2号令</w:t>
      </w:r>
      <w:r>
        <w:rPr>
          <w:rFonts w:ascii="仿宋" w:hAnsi="仿宋"/>
        </w:rPr>
        <w:t>》</w:t>
      </w:r>
      <w:r>
        <w:rPr>
          <w:rFonts w:hint="eastAsia" w:ascii="仿宋" w:hAnsi="仿宋"/>
        </w:rPr>
        <w:t>第十一条  证券公司、期货公司、基金管理公司以及其他从事基金销售业务的机构在办理以下业务时，应当识别客户身份，了解实际控制客户的自然人和交易的实际受益人，核对客户的有效身份证件或者其他身份证明文件，登记客户身份基本信息，并留存有效身份证件或者其他身份证明文件的复印件或者影印件：</w:t>
      </w:r>
    </w:p>
    <w:p>
      <w:pPr>
        <w:spacing w:line="360" w:lineRule="auto"/>
        <w:rPr>
          <w:rFonts w:ascii="仿宋" w:hAnsi="仿宋"/>
        </w:rPr>
      </w:pPr>
      <w:r>
        <w:rPr>
          <w:rFonts w:hint="eastAsia" w:ascii="仿宋" w:hAnsi="仿宋"/>
        </w:rPr>
        <w:t xml:space="preserve">    （一）资金账户开户、销户、变更，资金存取等。</w:t>
      </w:r>
    </w:p>
    <w:p>
      <w:pPr>
        <w:spacing w:line="360" w:lineRule="auto"/>
        <w:rPr>
          <w:rFonts w:ascii="仿宋" w:hAnsi="仿宋"/>
        </w:rPr>
      </w:pPr>
      <w:r>
        <w:rPr>
          <w:rFonts w:hint="eastAsia" w:ascii="仿宋" w:hAnsi="仿宋"/>
        </w:rPr>
        <w:t xml:space="preserve">    （二）开立基金账户。</w:t>
      </w:r>
    </w:p>
    <w:p>
      <w:pPr>
        <w:spacing w:line="360" w:lineRule="auto"/>
        <w:rPr>
          <w:rFonts w:ascii="仿宋" w:hAnsi="仿宋"/>
        </w:rPr>
      </w:pPr>
      <w:r>
        <w:rPr>
          <w:rFonts w:hint="eastAsia" w:ascii="仿宋" w:hAnsi="仿宋"/>
        </w:rPr>
        <w:t xml:space="preserve">    （三）代办证券账户的开户、挂失、销户或者期货客户交易编码的申请、挂失、销户。</w:t>
      </w:r>
    </w:p>
    <w:p>
      <w:pPr>
        <w:spacing w:line="360" w:lineRule="auto"/>
        <w:rPr>
          <w:rFonts w:ascii="仿宋" w:hAnsi="仿宋"/>
        </w:rPr>
      </w:pPr>
      <w:r>
        <w:rPr>
          <w:rFonts w:hint="eastAsia" w:ascii="仿宋" w:hAnsi="仿宋"/>
        </w:rPr>
        <w:t xml:space="preserve">    （四）与客户签订期货经纪合同。</w:t>
      </w:r>
    </w:p>
    <w:p>
      <w:pPr>
        <w:spacing w:line="360" w:lineRule="auto"/>
        <w:rPr>
          <w:rFonts w:ascii="仿宋" w:hAnsi="仿宋"/>
        </w:rPr>
      </w:pPr>
      <w:r>
        <w:rPr>
          <w:rFonts w:hint="eastAsia" w:ascii="仿宋" w:hAnsi="仿宋"/>
        </w:rPr>
        <w:t xml:space="preserve">    （五）为客户办理代理授权或者取消代理授权。</w:t>
      </w:r>
    </w:p>
    <w:p>
      <w:pPr>
        <w:spacing w:line="360" w:lineRule="auto"/>
        <w:rPr>
          <w:rFonts w:ascii="仿宋" w:hAnsi="仿宋"/>
        </w:rPr>
      </w:pPr>
      <w:r>
        <w:rPr>
          <w:rFonts w:hint="eastAsia" w:ascii="仿宋" w:hAnsi="仿宋"/>
        </w:rPr>
        <w:t xml:space="preserve">    （六）转托管，指定交易、撤销指定交易。</w:t>
      </w:r>
    </w:p>
    <w:p>
      <w:pPr>
        <w:spacing w:line="360" w:lineRule="auto"/>
        <w:rPr>
          <w:rFonts w:ascii="仿宋" w:hAnsi="仿宋"/>
        </w:rPr>
      </w:pPr>
      <w:r>
        <w:rPr>
          <w:rFonts w:hint="eastAsia" w:ascii="仿宋" w:hAnsi="仿宋"/>
        </w:rPr>
        <w:t xml:space="preserve">    （七）代办股份确认。</w:t>
      </w:r>
    </w:p>
    <w:p>
      <w:pPr>
        <w:spacing w:line="360" w:lineRule="auto"/>
        <w:rPr>
          <w:rFonts w:ascii="仿宋" w:hAnsi="仿宋"/>
        </w:rPr>
      </w:pPr>
      <w:r>
        <w:rPr>
          <w:rFonts w:hint="eastAsia" w:ascii="仿宋" w:hAnsi="仿宋"/>
        </w:rPr>
        <w:t xml:space="preserve">    （八）交易密码挂失。</w:t>
      </w:r>
    </w:p>
    <w:p>
      <w:pPr>
        <w:spacing w:line="360" w:lineRule="auto"/>
        <w:rPr>
          <w:rFonts w:ascii="仿宋" w:hAnsi="仿宋"/>
        </w:rPr>
      </w:pPr>
      <w:r>
        <w:rPr>
          <w:rFonts w:hint="eastAsia" w:ascii="仿宋" w:hAnsi="仿宋"/>
        </w:rPr>
        <w:t xml:space="preserve">    （九）修改客户身份基本信息等资料。</w:t>
      </w:r>
    </w:p>
    <w:p>
      <w:pPr>
        <w:spacing w:line="360" w:lineRule="auto"/>
        <w:rPr>
          <w:rFonts w:ascii="仿宋" w:hAnsi="仿宋"/>
        </w:rPr>
      </w:pPr>
      <w:r>
        <w:rPr>
          <w:rFonts w:hint="eastAsia" w:ascii="仿宋" w:hAnsi="仿宋"/>
        </w:rPr>
        <w:t xml:space="preserve">    （十）开通网上交易、电话交易等非柜面交易方式。</w:t>
      </w:r>
    </w:p>
    <w:p>
      <w:pPr>
        <w:spacing w:line="360" w:lineRule="auto"/>
        <w:rPr>
          <w:rFonts w:ascii="仿宋" w:hAnsi="仿宋"/>
        </w:rPr>
      </w:pPr>
      <w:r>
        <w:rPr>
          <w:rFonts w:hint="eastAsia" w:ascii="仿宋" w:hAnsi="仿宋"/>
        </w:rPr>
        <w:t xml:space="preserve">    （十一）与客户签订融资融券等信用交易合同。</w:t>
      </w:r>
    </w:p>
    <w:p>
      <w:pPr>
        <w:spacing w:line="360" w:lineRule="auto"/>
        <w:rPr>
          <w:rFonts w:ascii="仿宋" w:hAnsi="仿宋"/>
          <w:highlight w:val="yellow"/>
        </w:rPr>
      </w:pPr>
      <w:r>
        <w:rPr>
          <w:rFonts w:hint="eastAsia" w:ascii="仿宋" w:hAnsi="仿宋"/>
        </w:rPr>
        <w:t xml:space="preserve">    （十二）办理中国人民银行和中国证券监督管理委员会确定的其他业务。</w:t>
      </w:r>
    </w:p>
    <w:p>
      <w:pPr>
        <w:spacing w:line="360" w:lineRule="auto"/>
        <w:ind w:firstLine="480" w:firstLineChars="200"/>
        <w:rPr>
          <w:rFonts w:ascii="仿宋" w:hAnsi="仿宋"/>
        </w:rPr>
      </w:pPr>
    </w:p>
    <w:p>
      <w:pPr>
        <w:pStyle w:val="4"/>
        <w:numPr>
          <w:ilvl w:val="0"/>
          <w:numId w:val="4"/>
        </w:numPr>
        <w:spacing w:before="0" w:after="0" w:line="360" w:lineRule="auto"/>
        <w:rPr>
          <w:rFonts w:ascii="仿宋" w:hAnsi="仿宋"/>
          <w:kern w:val="0"/>
          <w:szCs w:val="24"/>
        </w:rPr>
      </w:pPr>
      <w:bookmarkStart w:id="353" w:name="_Toc3896789"/>
      <w:r>
        <w:rPr>
          <w:rFonts w:hint="eastAsia" w:ascii="仿宋" w:hAnsi="仿宋"/>
          <w:kern w:val="0"/>
          <w:szCs w:val="24"/>
        </w:rPr>
        <w:t>客户身份持续识别</w:t>
      </w:r>
      <w:bookmarkEnd w:id="353"/>
    </w:p>
    <w:p>
      <w:pPr>
        <w:spacing w:line="360" w:lineRule="auto"/>
        <w:ind w:firstLine="420"/>
        <w:rPr>
          <w:rFonts w:ascii="仿宋" w:hAnsi="仿宋"/>
        </w:rPr>
      </w:pPr>
      <w:r>
        <w:rPr>
          <w:rFonts w:hint="eastAsia" w:ascii="仿宋" w:hAnsi="仿宋"/>
        </w:rPr>
        <w:t>依据：</w:t>
      </w:r>
    </w:p>
    <w:p>
      <w:pPr>
        <w:spacing w:line="360" w:lineRule="auto"/>
        <w:ind w:firstLine="420"/>
        <w:rPr>
          <w:rFonts w:ascii="仿宋" w:hAnsi="仿宋"/>
        </w:rPr>
      </w:pPr>
      <w:r>
        <w:rPr>
          <w:rFonts w:hint="eastAsia" w:ascii="仿宋" w:hAnsi="仿宋"/>
        </w:rPr>
        <w:t>《金融机构客户身份识别和客户身份资料及交易记录保存管理办法（2007）2号令》第十九条 在与客户的业务关系存续期间，金融机构应当采取持续的客户身份识别措施，关注客户及其日常经营活动、金融交易情况，及时提示客户更新资料信息。</w:t>
      </w:r>
    </w:p>
    <w:p>
      <w:pPr>
        <w:spacing w:line="360" w:lineRule="auto"/>
        <w:ind w:firstLine="480" w:firstLineChars="200"/>
        <w:rPr>
          <w:rFonts w:ascii="仿宋" w:hAnsi="仿宋"/>
        </w:rPr>
      </w:pPr>
      <w:r>
        <w:rPr>
          <w:rFonts w:hint="eastAsia" w:ascii="仿宋" w:hAnsi="仿宋"/>
        </w:rPr>
        <w:t>对于高风险客户或者高风险账户持有人，金融机构应当了解其资金来源、资金用途、经济状况或者经营状况等信息，加强对其金融交易活动的监测分析。客户为外国政要的，金融机构应采取合理措施了解其资金来源和用途。</w:t>
      </w:r>
    </w:p>
    <w:p>
      <w:pPr>
        <w:spacing w:line="360" w:lineRule="auto"/>
        <w:ind w:firstLine="480" w:firstLineChars="200"/>
        <w:rPr>
          <w:rFonts w:ascii="仿宋" w:hAnsi="仿宋"/>
        </w:rPr>
      </w:pPr>
      <w:r>
        <w:rPr>
          <w:rFonts w:hint="eastAsia" w:ascii="仿宋" w:hAnsi="仿宋"/>
        </w:rPr>
        <w:t>客户先前提交的身份证件或者身份证明文件已过有效期的，客户没有在合理期限内更新且没有提出合理理由的，金融机构应中止为客户办理业务。</w:t>
      </w:r>
    </w:p>
    <w:p>
      <w:pPr>
        <w:spacing w:line="360" w:lineRule="auto"/>
        <w:rPr>
          <w:rFonts w:ascii="仿宋" w:hAnsi="仿宋"/>
        </w:rPr>
      </w:pPr>
    </w:p>
    <w:p>
      <w:pPr>
        <w:pStyle w:val="4"/>
        <w:numPr>
          <w:ilvl w:val="0"/>
          <w:numId w:val="4"/>
        </w:numPr>
        <w:spacing w:before="0" w:after="0" w:line="360" w:lineRule="auto"/>
        <w:rPr>
          <w:rFonts w:ascii="仿宋" w:hAnsi="仿宋"/>
          <w:szCs w:val="24"/>
        </w:rPr>
      </w:pPr>
      <w:bookmarkStart w:id="354" w:name="_Toc3896790"/>
      <w:r>
        <w:rPr>
          <w:rFonts w:hint="eastAsia" w:ascii="仿宋" w:hAnsi="仿宋"/>
          <w:kern w:val="0"/>
          <w:szCs w:val="24"/>
        </w:rPr>
        <w:t>客户身份重新识别</w:t>
      </w:r>
      <w:bookmarkEnd w:id="354"/>
    </w:p>
    <w:p>
      <w:pPr>
        <w:spacing w:line="360" w:lineRule="auto"/>
        <w:ind w:firstLine="420"/>
        <w:rPr>
          <w:rFonts w:ascii="仿宋" w:hAnsi="仿宋"/>
        </w:rPr>
      </w:pPr>
      <w:r>
        <w:rPr>
          <w:rFonts w:hint="eastAsia" w:ascii="仿宋" w:hAnsi="仿宋"/>
        </w:rPr>
        <w:t>依据：</w:t>
      </w:r>
    </w:p>
    <w:p>
      <w:pPr>
        <w:spacing w:line="360" w:lineRule="auto"/>
        <w:ind w:firstLine="420"/>
        <w:rPr>
          <w:rFonts w:ascii="仿宋" w:hAnsi="仿宋"/>
        </w:rPr>
      </w:pPr>
      <w:r>
        <w:rPr>
          <w:rFonts w:hint="eastAsia" w:ascii="仿宋" w:hAnsi="仿宋"/>
        </w:rPr>
        <w:t>《金融机构客户身份识别和客户身份资料及交易记录保存管理办法（2007）2号令》第二十二条 出现以下情况时，金融机构应当重新识别客户：</w:t>
      </w:r>
    </w:p>
    <w:p>
      <w:pPr>
        <w:spacing w:line="360" w:lineRule="auto"/>
        <w:rPr>
          <w:rFonts w:ascii="仿宋" w:hAnsi="仿宋"/>
        </w:rPr>
      </w:pPr>
      <w:r>
        <w:rPr>
          <w:rFonts w:hint="eastAsia" w:ascii="仿宋" w:hAnsi="仿宋"/>
        </w:rPr>
        <w:t xml:space="preserve">    （一）客户要求变更姓名或者名称、身份证件或者身份证明文件种类、身份证件号码、注册资本、经营范围、法定代表人或者负责人的。</w:t>
      </w:r>
    </w:p>
    <w:p>
      <w:pPr>
        <w:spacing w:line="360" w:lineRule="auto"/>
        <w:rPr>
          <w:rFonts w:ascii="仿宋" w:hAnsi="仿宋"/>
        </w:rPr>
      </w:pPr>
      <w:r>
        <w:rPr>
          <w:rFonts w:hint="eastAsia" w:ascii="仿宋" w:hAnsi="仿宋"/>
        </w:rPr>
        <w:t xml:space="preserve">    （二）客户行为或者交易情况出现异常的。</w:t>
      </w:r>
    </w:p>
    <w:p>
      <w:pPr>
        <w:spacing w:line="360" w:lineRule="auto"/>
        <w:rPr>
          <w:rFonts w:ascii="仿宋" w:hAnsi="仿宋"/>
        </w:rPr>
      </w:pPr>
      <w:r>
        <w:rPr>
          <w:rFonts w:hint="eastAsia" w:ascii="仿宋" w:hAnsi="仿宋"/>
        </w:rPr>
        <w:t xml:space="preserve">    （三）客户姓名或者名称与国务院有关部门、机构和司法机关依法要求金融机构协查或者关注的犯罪嫌疑人、洗钱和恐怖融资分子的姓名或者名称相同的。</w:t>
      </w:r>
    </w:p>
    <w:p>
      <w:pPr>
        <w:spacing w:line="360" w:lineRule="auto"/>
        <w:rPr>
          <w:rFonts w:ascii="仿宋" w:hAnsi="仿宋"/>
        </w:rPr>
      </w:pPr>
      <w:r>
        <w:rPr>
          <w:rFonts w:hint="eastAsia" w:ascii="仿宋" w:hAnsi="仿宋"/>
        </w:rPr>
        <w:t xml:space="preserve">    （四）客户有洗钱、恐怖融资活动嫌疑的。</w:t>
      </w:r>
    </w:p>
    <w:p>
      <w:pPr>
        <w:spacing w:line="360" w:lineRule="auto"/>
        <w:rPr>
          <w:rFonts w:ascii="仿宋" w:hAnsi="仿宋"/>
        </w:rPr>
      </w:pPr>
      <w:r>
        <w:rPr>
          <w:rFonts w:hint="eastAsia" w:ascii="仿宋" w:hAnsi="仿宋"/>
        </w:rPr>
        <w:t xml:space="preserve">    （五）金融机构获得的客户信息与先前已经掌握的相关信息存在不一致或者相互矛盾的。</w:t>
      </w:r>
    </w:p>
    <w:p>
      <w:pPr>
        <w:spacing w:line="360" w:lineRule="auto"/>
        <w:rPr>
          <w:rFonts w:ascii="仿宋" w:hAnsi="仿宋"/>
        </w:rPr>
      </w:pPr>
      <w:r>
        <w:rPr>
          <w:rFonts w:hint="eastAsia" w:ascii="仿宋" w:hAnsi="仿宋"/>
        </w:rPr>
        <w:t xml:space="preserve">    （六）先前获得的客户身份资料的真实性、有效性、完整性存在疑点的。</w:t>
      </w:r>
    </w:p>
    <w:p>
      <w:pPr>
        <w:spacing w:line="360" w:lineRule="auto"/>
        <w:rPr>
          <w:rFonts w:ascii="仿宋" w:hAnsi="仿宋"/>
        </w:rPr>
      </w:pPr>
      <w:r>
        <w:rPr>
          <w:rFonts w:hint="eastAsia" w:ascii="仿宋" w:hAnsi="仿宋"/>
        </w:rPr>
        <w:t xml:space="preserve">    （七）金融机构认为应重新识别客户身份的其他情形。</w:t>
      </w:r>
    </w:p>
    <w:p>
      <w:pPr>
        <w:spacing w:line="360" w:lineRule="auto"/>
        <w:ind w:firstLine="420"/>
        <w:rPr>
          <w:rFonts w:ascii="仿宋" w:hAnsi="仿宋"/>
        </w:rPr>
      </w:pPr>
      <w:r>
        <w:rPr>
          <w:rFonts w:hint="eastAsia" w:ascii="仿宋" w:hAnsi="仿宋"/>
        </w:rPr>
        <w:t>《金融机构客户身份识别和客户身份资料及交易记录保存管理办法（2007）2号令》第二十三条 金融机构除核对有效身份证件或者其他身份证明文件外，可以采取以下的一种或者几种措施，识别或者重新识别客户身份：</w:t>
      </w:r>
    </w:p>
    <w:p>
      <w:pPr>
        <w:spacing w:line="360" w:lineRule="auto"/>
        <w:rPr>
          <w:rFonts w:ascii="仿宋" w:hAnsi="仿宋"/>
        </w:rPr>
      </w:pPr>
      <w:r>
        <w:rPr>
          <w:rFonts w:hint="eastAsia" w:ascii="仿宋" w:hAnsi="仿宋"/>
        </w:rPr>
        <w:t xml:space="preserve">    （一）要求客户补充其他身份资料或者身份证明文件。</w:t>
      </w:r>
    </w:p>
    <w:p>
      <w:pPr>
        <w:spacing w:line="360" w:lineRule="auto"/>
        <w:rPr>
          <w:rFonts w:ascii="仿宋" w:hAnsi="仿宋"/>
        </w:rPr>
      </w:pPr>
      <w:r>
        <w:rPr>
          <w:rFonts w:hint="eastAsia" w:ascii="仿宋" w:hAnsi="仿宋"/>
        </w:rPr>
        <w:t xml:space="preserve">    （二）回访客户。</w:t>
      </w:r>
    </w:p>
    <w:p>
      <w:pPr>
        <w:spacing w:line="360" w:lineRule="auto"/>
        <w:rPr>
          <w:rFonts w:ascii="仿宋" w:hAnsi="仿宋"/>
        </w:rPr>
      </w:pPr>
      <w:r>
        <w:rPr>
          <w:rFonts w:hint="eastAsia" w:ascii="仿宋" w:hAnsi="仿宋"/>
        </w:rPr>
        <w:t xml:space="preserve">    （三）实地查访。</w:t>
      </w:r>
    </w:p>
    <w:p>
      <w:pPr>
        <w:spacing w:line="360" w:lineRule="auto"/>
        <w:rPr>
          <w:rFonts w:ascii="仿宋" w:hAnsi="仿宋"/>
        </w:rPr>
      </w:pPr>
      <w:r>
        <w:rPr>
          <w:rFonts w:hint="eastAsia" w:ascii="仿宋" w:hAnsi="仿宋"/>
        </w:rPr>
        <w:t xml:space="preserve">    （四）向公安、工商行政管理等部门核实。</w:t>
      </w:r>
    </w:p>
    <w:p>
      <w:pPr>
        <w:spacing w:line="360" w:lineRule="auto"/>
        <w:rPr>
          <w:rFonts w:ascii="仿宋" w:hAnsi="仿宋"/>
        </w:rPr>
      </w:pPr>
      <w:r>
        <w:rPr>
          <w:rFonts w:hint="eastAsia" w:ascii="仿宋" w:hAnsi="仿宋"/>
        </w:rPr>
        <w:t xml:space="preserve">    （五）其他可依法采取的措施。</w:t>
      </w:r>
    </w:p>
    <w:p>
      <w:pPr>
        <w:spacing w:line="360" w:lineRule="auto"/>
        <w:ind w:firstLine="420"/>
        <w:rPr>
          <w:rFonts w:ascii="仿宋" w:hAnsi="仿宋"/>
        </w:rPr>
      </w:pPr>
      <w:r>
        <w:rPr>
          <w:rFonts w:hint="eastAsia" w:ascii="仿宋" w:hAnsi="仿宋"/>
        </w:rPr>
        <w:t>银行业金融机构履行客户身份识别义务时，按照法律、行政法规或部门规章的规定需核对相关自然人的居民身份证的，应通过中国人民银行建立的联网核查公民身份信息系统进行核查。其他金融机构核实自然人的公民身份信息时，可以通过中国人民银行建立的联网核查公民身份信息系统进行核查。</w:t>
      </w:r>
    </w:p>
    <w:p>
      <w:pPr>
        <w:spacing w:line="360" w:lineRule="auto"/>
        <w:ind w:firstLine="480" w:firstLineChars="200"/>
        <w:rPr>
          <w:rFonts w:ascii="仿宋" w:hAnsi="仿宋"/>
        </w:rPr>
      </w:pPr>
    </w:p>
    <w:p>
      <w:pPr>
        <w:pStyle w:val="4"/>
        <w:numPr>
          <w:ilvl w:val="0"/>
          <w:numId w:val="4"/>
        </w:numPr>
        <w:spacing w:before="0" w:after="0" w:line="360" w:lineRule="auto"/>
        <w:rPr>
          <w:rFonts w:ascii="仿宋" w:hAnsi="仿宋"/>
          <w:kern w:val="0"/>
          <w:szCs w:val="24"/>
        </w:rPr>
      </w:pPr>
      <w:bookmarkStart w:id="355" w:name="_Toc3896791"/>
      <w:r>
        <w:rPr>
          <w:rFonts w:hint="eastAsia" w:ascii="仿宋" w:hAnsi="仿宋"/>
          <w:kern w:val="0"/>
          <w:szCs w:val="24"/>
        </w:rPr>
        <w:t>持续识别非自然人客户受益所有人义务</w:t>
      </w:r>
      <w:bookmarkEnd w:id="355"/>
    </w:p>
    <w:p>
      <w:pPr>
        <w:spacing w:line="360" w:lineRule="auto"/>
        <w:ind w:firstLine="480" w:firstLineChars="200"/>
        <w:rPr>
          <w:rFonts w:ascii="仿宋" w:hAnsi="仿宋"/>
        </w:rPr>
      </w:pPr>
      <w:r>
        <w:rPr>
          <w:rFonts w:hint="eastAsia" w:ascii="仿宋" w:hAnsi="仿宋"/>
        </w:rPr>
        <w:t>依据：</w:t>
      </w:r>
    </w:p>
    <w:p>
      <w:pPr>
        <w:spacing w:line="360" w:lineRule="auto"/>
        <w:ind w:firstLine="480" w:firstLineChars="200"/>
        <w:rPr>
          <w:rFonts w:ascii="仿宋" w:hAnsi="仿宋"/>
          <w:b/>
        </w:rPr>
      </w:pPr>
      <w:r>
        <w:rPr>
          <w:rFonts w:hint="eastAsia" w:ascii="仿宋" w:hAnsi="仿宋"/>
        </w:rPr>
        <w:t>《中国人民银行关于加强反洗钱客户身份识别有关工作的通知》（银发【2017】235号）第一条</w:t>
      </w:r>
      <w:r>
        <w:rPr>
          <w:rFonts w:hint="eastAsia" w:ascii="仿宋" w:hAnsi="仿宋"/>
          <w:b/>
        </w:rPr>
        <w:t xml:space="preserve"> </w:t>
      </w:r>
      <w:r>
        <w:rPr>
          <w:rFonts w:hint="eastAsia" w:ascii="仿宋" w:hAnsi="仿宋"/>
        </w:rPr>
        <w:t>（一）义务机构应当加强对非自然人客户的身份识别，在建立或者维持业务关系时，采取合理措施了解非自然人客户的业务性质与股权或者控制权结构，了解相关的授予所有人信息。</w:t>
      </w:r>
    </w:p>
    <w:p>
      <w:pPr>
        <w:spacing w:line="360" w:lineRule="auto"/>
        <w:ind w:firstLine="480" w:firstLineChars="200"/>
        <w:rPr>
          <w:rFonts w:ascii="仿宋" w:hAnsi="仿宋"/>
        </w:rPr>
      </w:pPr>
      <w:r>
        <w:rPr>
          <w:rFonts w:hint="eastAsia" w:ascii="仿宋" w:hAnsi="仿宋"/>
        </w:rPr>
        <w:t>（二）义务机构应当根据实际情况以及从可靠途径、以可靠方式获取的相关信息或者数据，识别非自然人客户的受益所有人，并在业务关系存续期间，持续关注受益所有人信息变更情况。</w:t>
      </w:r>
    </w:p>
    <w:p>
      <w:pPr>
        <w:spacing w:line="360" w:lineRule="auto"/>
        <w:ind w:firstLine="480" w:firstLineChars="200"/>
        <w:rPr>
          <w:rFonts w:ascii="仿宋" w:hAnsi="仿宋"/>
        </w:rPr>
      </w:pPr>
      <w:r>
        <w:rPr>
          <w:rFonts w:hint="eastAsia" w:ascii="仿宋" w:hAnsi="仿宋"/>
        </w:rPr>
        <w:t>（三）对非自然人客户受益所有人的追溯，义务机构应当逐层深入并最终明确为掌握控制权或者获取收益的自然人，判定标准如下：</w:t>
      </w:r>
    </w:p>
    <w:p>
      <w:pPr>
        <w:pStyle w:val="40"/>
        <w:numPr>
          <w:ilvl w:val="0"/>
          <w:numId w:val="5"/>
        </w:numPr>
        <w:spacing w:line="360" w:lineRule="auto"/>
        <w:ind w:left="0" w:firstLine="424" w:firstLineChars="177"/>
        <w:rPr>
          <w:rFonts w:ascii="仿宋" w:hAnsi="仿宋"/>
          <w:szCs w:val="24"/>
        </w:rPr>
      </w:pPr>
      <w:r>
        <w:rPr>
          <w:rFonts w:hint="eastAsia" w:ascii="仿宋" w:hAnsi="仿宋"/>
          <w:szCs w:val="24"/>
        </w:rPr>
        <w:t>公司的受益所有人应当按照以下标准依次判定：直接或者间接拥有超过</w:t>
      </w:r>
      <w:r>
        <w:rPr>
          <w:rFonts w:ascii="仿宋" w:hAnsi="仿宋"/>
          <w:szCs w:val="24"/>
        </w:rPr>
        <w:t>25%</w:t>
      </w:r>
      <w:r>
        <w:rPr>
          <w:rFonts w:hint="eastAsia" w:ascii="仿宋" w:hAnsi="仿宋"/>
          <w:szCs w:val="24"/>
        </w:rPr>
        <w:t>公司股权或者表决权的自然人；通过人事、财务等其他方式对公司进行控制的自然人；公司的高级管理人员。</w:t>
      </w:r>
    </w:p>
    <w:p>
      <w:pPr>
        <w:pStyle w:val="40"/>
        <w:numPr>
          <w:ilvl w:val="0"/>
          <w:numId w:val="5"/>
        </w:numPr>
        <w:spacing w:line="360" w:lineRule="auto"/>
        <w:ind w:left="0" w:firstLine="424" w:firstLineChars="177"/>
        <w:rPr>
          <w:rFonts w:ascii="仿宋" w:hAnsi="仿宋"/>
          <w:szCs w:val="24"/>
        </w:rPr>
      </w:pPr>
      <w:r>
        <w:rPr>
          <w:rFonts w:hint="eastAsia" w:ascii="仿宋" w:hAnsi="仿宋"/>
          <w:szCs w:val="24"/>
        </w:rPr>
        <w:t>合伙企业的受益所有人是指拥有超过</w:t>
      </w:r>
      <w:r>
        <w:rPr>
          <w:rFonts w:ascii="仿宋" w:hAnsi="仿宋"/>
          <w:szCs w:val="24"/>
        </w:rPr>
        <w:t>25%</w:t>
      </w:r>
      <w:r>
        <w:rPr>
          <w:rFonts w:hint="eastAsia" w:ascii="仿宋" w:hAnsi="仿宋"/>
          <w:szCs w:val="24"/>
        </w:rPr>
        <w:t>合伙权益的自然人。</w:t>
      </w:r>
    </w:p>
    <w:p>
      <w:pPr>
        <w:pStyle w:val="40"/>
        <w:numPr>
          <w:ilvl w:val="0"/>
          <w:numId w:val="5"/>
        </w:numPr>
        <w:spacing w:line="360" w:lineRule="auto"/>
        <w:ind w:left="0" w:firstLine="424" w:firstLineChars="177"/>
        <w:rPr>
          <w:rFonts w:ascii="仿宋" w:hAnsi="仿宋"/>
          <w:szCs w:val="24"/>
        </w:rPr>
      </w:pPr>
      <w:r>
        <w:rPr>
          <w:rFonts w:hint="eastAsia" w:ascii="仿宋" w:hAnsi="仿宋"/>
          <w:szCs w:val="24"/>
        </w:rPr>
        <w:t>信托的受益所有人是指信托的委托人、受托人、受益人以及其他对信托实施最终有效控制的自然人。</w:t>
      </w:r>
    </w:p>
    <w:p>
      <w:pPr>
        <w:pStyle w:val="40"/>
        <w:numPr>
          <w:ilvl w:val="0"/>
          <w:numId w:val="5"/>
        </w:numPr>
        <w:spacing w:line="360" w:lineRule="auto"/>
        <w:ind w:left="0" w:firstLine="424" w:firstLineChars="177"/>
        <w:rPr>
          <w:rFonts w:ascii="仿宋" w:hAnsi="仿宋"/>
          <w:szCs w:val="24"/>
        </w:rPr>
      </w:pPr>
      <w:r>
        <w:rPr>
          <w:rFonts w:hint="eastAsia" w:ascii="仿宋" w:hAnsi="仿宋"/>
          <w:szCs w:val="24"/>
        </w:rPr>
        <w:t>基金的受益所有人是指拥有超过</w:t>
      </w:r>
      <w:r>
        <w:rPr>
          <w:rFonts w:ascii="仿宋" w:hAnsi="仿宋"/>
          <w:szCs w:val="24"/>
        </w:rPr>
        <w:t>25%</w:t>
      </w:r>
      <w:r>
        <w:rPr>
          <w:rFonts w:hint="eastAsia" w:ascii="仿宋" w:hAnsi="仿宋"/>
          <w:szCs w:val="24"/>
        </w:rPr>
        <w:t>权益份额或者其他对基金进行控制的自然人。</w:t>
      </w:r>
    </w:p>
    <w:p>
      <w:pPr>
        <w:spacing w:line="360" w:lineRule="auto"/>
        <w:ind w:firstLine="480" w:firstLineChars="200"/>
        <w:rPr>
          <w:rFonts w:ascii="仿宋" w:hAnsi="仿宋"/>
        </w:rPr>
      </w:pPr>
      <w:r>
        <w:rPr>
          <w:rFonts w:hint="eastAsia" w:ascii="仿宋" w:hAnsi="仿宋"/>
        </w:rPr>
        <w:t>对风险较高的非自然人客户，义务机构应当采取更严格的标准判定其受益所有人。</w:t>
      </w:r>
    </w:p>
    <w:p>
      <w:pPr>
        <w:spacing w:line="360" w:lineRule="auto"/>
        <w:ind w:firstLine="480"/>
        <w:rPr>
          <w:rFonts w:ascii="仿宋" w:hAnsi="仿宋"/>
        </w:rPr>
      </w:pPr>
      <w:r>
        <w:rPr>
          <w:rFonts w:hint="eastAsia" w:ascii="仿宋" w:hAnsi="仿宋"/>
        </w:rPr>
        <w:t>（四）义务机构应当核实受益所有人信息，并可以通过询问非自然人客户、要求非自然人客户提供证明材料、查询公开信息、委托有关机构调查等方式进行。</w:t>
      </w:r>
    </w:p>
    <w:p>
      <w:pPr>
        <w:spacing w:line="360" w:lineRule="auto"/>
        <w:ind w:firstLine="480"/>
        <w:rPr>
          <w:rFonts w:ascii="仿宋" w:hAnsi="仿宋"/>
        </w:rPr>
      </w:pPr>
      <w:r>
        <w:rPr>
          <w:rFonts w:hint="eastAsia" w:ascii="仿宋" w:hAnsi="仿宋"/>
        </w:rPr>
        <w:t>（五）义务机构应当登记客户受益所有人的姓名、地址、身份证件或者身份证明文件的种类、号码和有效期限。</w:t>
      </w:r>
    </w:p>
    <w:p>
      <w:pPr>
        <w:spacing w:line="360" w:lineRule="auto"/>
        <w:ind w:firstLine="480"/>
        <w:rPr>
          <w:rFonts w:ascii="仿宋" w:hAnsi="仿宋"/>
        </w:rPr>
      </w:pPr>
      <w:r>
        <w:rPr>
          <w:rFonts w:hint="eastAsia" w:ascii="仿宋" w:hAnsi="仿宋"/>
        </w:rPr>
        <w:t>（六）义务机构在充分评估下述非自然人客户风险状况基础上，可以将其法定代表人或者实际控制人视同为受益所有人：</w:t>
      </w:r>
    </w:p>
    <w:p>
      <w:pPr>
        <w:spacing w:line="360" w:lineRule="auto"/>
        <w:ind w:firstLine="480"/>
        <w:rPr>
          <w:rFonts w:ascii="仿宋" w:hAnsi="仿宋"/>
        </w:rPr>
      </w:pPr>
      <w:r>
        <w:rPr>
          <w:rFonts w:ascii="仿宋" w:hAnsi="仿宋"/>
        </w:rPr>
        <w:t>1</w:t>
      </w:r>
      <w:r>
        <w:rPr>
          <w:rFonts w:hint="eastAsia" w:ascii="仿宋" w:hAnsi="仿宋"/>
        </w:rPr>
        <w:t>、个体工商户、个人独资企业、不具备法人资格的专业服务机构。</w:t>
      </w:r>
    </w:p>
    <w:p>
      <w:pPr>
        <w:spacing w:line="360" w:lineRule="auto"/>
        <w:ind w:firstLine="480"/>
        <w:rPr>
          <w:rFonts w:ascii="仿宋" w:hAnsi="仿宋"/>
        </w:rPr>
      </w:pPr>
      <w:r>
        <w:rPr>
          <w:rFonts w:ascii="仿宋" w:hAnsi="仿宋"/>
        </w:rPr>
        <w:t>2</w:t>
      </w:r>
      <w:r>
        <w:rPr>
          <w:rFonts w:hint="eastAsia" w:ascii="仿宋" w:hAnsi="仿宋"/>
        </w:rPr>
        <w:t>、经营农林渔牧产业的非公司制农民专业合作组织。</w:t>
      </w:r>
    </w:p>
    <w:p>
      <w:pPr>
        <w:spacing w:line="360" w:lineRule="auto"/>
        <w:ind w:firstLine="480"/>
        <w:rPr>
          <w:rFonts w:ascii="仿宋" w:hAnsi="仿宋"/>
        </w:rPr>
      </w:pPr>
      <w:r>
        <w:rPr>
          <w:rFonts w:hint="eastAsia" w:ascii="仿宋" w:hAnsi="仿宋"/>
        </w:rPr>
        <w:t>对于受政府控制的企事业单位，参照上述标准执行。</w:t>
      </w:r>
    </w:p>
    <w:p>
      <w:pPr>
        <w:spacing w:line="360" w:lineRule="auto"/>
        <w:ind w:firstLine="480"/>
        <w:rPr>
          <w:rFonts w:ascii="仿宋" w:hAnsi="仿宋"/>
        </w:rPr>
      </w:pPr>
      <w:r>
        <w:rPr>
          <w:rFonts w:hint="eastAsia" w:ascii="仿宋" w:hAnsi="仿宋"/>
        </w:rPr>
        <w:t>（七）义务机构可以不识别下述非自然人客户的受益所有人：</w:t>
      </w:r>
    </w:p>
    <w:p>
      <w:pPr>
        <w:spacing w:line="360" w:lineRule="auto"/>
        <w:ind w:firstLine="480"/>
        <w:rPr>
          <w:rFonts w:ascii="仿宋" w:hAnsi="仿宋"/>
        </w:rPr>
      </w:pPr>
      <w:r>
        <w:rPr>
          <w:rFonts w:ascii="仿宋" w:hAnsi="仿宋"/>
        </w:rPr>
        <w:t>1</w:t>
      </w:r>
      <w:r>
        <w:rPr>
          <w:rFonts w:hint="eastAsia" w:ascii="仿宋" w:hAnsi="仿宋"/>
        </w:rPr>
        <w:t>、各级党的机关、国家权力机关、行政机关、司法机关、军事机关、人民政协机关和人民解放军、武警部队、参照公务员法管理的事业单位。</w:t>
      </w:r>
    </w:p>
    <w:p>
      <w:pPr>
        <w:spacing w:line="360" w:lineRule="auto"/>
        <w:ind w:firstLine="480"/>
        <w:rPr>
          <w:rFonts w:ascii="仿宋" w:hAnsi="仿宋"/>
        </w:rPr>
      </w:pPr>
      <w:r>
        <w:rPr>
          <w:rFonts w:ascii="仿宋" w:hAnsi="仿宋"/>
        </w:rPr>
        <w:t>2</w:t>
      </w:r>
      <w:r>
        <w:rPr>
          <w:rFonts w:hint="eastAsia" w:ascii="仿宋" w:hAnsi="仿宋"/>
        </w:rPr>
        <w:t>、政府间国际组织、外国政府驻华使领馆及办事处等机构及组织。</w:t>
      </w:r>
    </w:p>
    <w:p>
      <w:pPr>
        <w:spacing w:line="360" w:lineRule="auto"/>
        <w:ind w:firstLine="480"/>
        <w:rPr>
          <w:rFonts w:ascii="仿宋" w:hAnsi="仿宋"/>
        </w:rPr>
      </w:pPr>
    </w:p>
    <w:p>
      <w:pPr>
        <w:pStyle w:val="4"/>
        <w:numPr>
          <w:ilvl w:val="0"/>
          <w:numId w:val="4"/>
        </w:numPr>
        <w:spacing w:before="0" w:after="0" w:line="360" w:lineRule="auto"/>
        <w:rPr>
          <w:rFonts w:ascii="仿宋" w:hAnsi="仿宋"/>
          <w:kern w:val="0"/>
          <w:szCs w:val="24"/>
        </w:rPr>
      </w:pPr>
      <w:bookmarkStart w:id="356" w:name="_Toc3896792"/>
      <w:r>
        <w:rPr>
          <w:rFonts w:hint="eastAsia" w:ascii="仿宋" w:hAnsi="仿宋"/>
          <w:kern w:val="0"/>
          <w:szCs w:val="24"/>
        </w:rPr>
        <w:t>特定业务关系中客户的身份识别义务</w:t>
      </w:r>
      <w:bookmarkEnd w:id="356"/>
    </w:p>
    <w:p>
      <w:pPr>
        <w:spacing w:line="360" w:lineRule="auto"/>
        <w:ind w:firstLine="480" w:firstLineChars="200"/>
        <w:rPr>
          <w:rFonts w:ascii="仿宋" w:hAnsi="仿宋"/>
        </w:rPr>
      </w:pPr>
      <w:r>
        <w:rPr>
          <w:rFonts w:hint="eastAsia" w:ascii="仿宋" w:hAnsi="仿宋"/>
        </w:rPr>
        <w:t>依据：</w:t>
      </w:r>
    </w:p>
    <w:p>
      <w:pPr>
        <w:spacing w:line="360" w:lineRule="auto"/>
        <w:ind w:firstLine="480" w:firstLineChars="200"/>
        <w:rPr>
          <w:rFonts w:ascii="仿宋" w:hAnsi="仿宋"/>
        </w:rPr>
      </w:pPr>
      <w:r>
        <w:rPr>
          <w:rFonts w:hint="eastAsia" w:ascii="仿宋" w:hAnsi="仿宋"/>
        </w:rPr>
        <w:t>《中国人民银行关于加强反洗钱客户身份识别有关工作的通知》（银发【2017】235号）第三条 义务机构应当根据产品，业务的风险评估结果，结合业务关系特定开展客户身份识别，将客户身份识别工作作为有效防范洗钱和恐怖融资风险的基础。</w:t>
      </w:r>
    </w:p>
    <w:p>
      <w:pPr>
        <w:spacing w:line="360" w:lineRule="auto"/>
        <w:ind w:firstLine="480"/>
        <w:rPr>
          <w:rFonts w:ascii="仿宋" w:hAnsi="仿宋"/>
        </w:rPr>
      </w:pPr>
      <w:r>
        <w:rPr>
          <w:rFonts w:hint="eastAsia" w:ascii="仿宋" w:hAnsi="仿宋"/>
        </w:rPr>
        <w:t>（二）义务机构采取有效措施仍无法进行客户身份识别的，或者经过评估超过本机构风险管理能力的，不得与客户建立业务关系或者进行交易；已建立业务关系的，应当中止交易并考虑提交可疑交易报告，必要时可中止业务关系。</w:t>
      </w:r>
    </w:p>
    <w:p>
      <w:pPr>
        <w:spacing w:line="360" w:lineRule="auto"/>
        <w:ind w:firstLine="480"/>
        <w:rPr>
          <w:rFonts w:ascii="仿宋" w:hAnsi="仿宋"/>
        </w:rPr>
      </w:pPr>
      <w:r>
        <w:rPr>
          <w:rFonts w:hint="eastAsia" w:ascii="仿宋" w:hAnsi="仿宋"/>
        </w:rPr>
        <w:t>义务机构怀疑交易与洗钱或者恐怖融资有关，但重新或者持续识别客户身份将无法避免泄密时，可以终止身份识别措施，并提交可疑交易报告。</w:t>
      </w:r>
    </w:p>
    <w:p>
      <w:pPr>
        <w:spacing w:line="360" w:lineRule="auto"/>
        <w:ind w:firstLine="480"/>
        <w:rPr>
          <w:rFonts w:ascii="仿宋" w:hAnsi="仿宋"/>
        </w:rPr>
      </w:pPr>
      <w:r>
        <w:rPr>
          <w:rFonts w:hint="eastAsia" w:ascii="仿宋" w:hAnsi="仿宋"/>
        </w:rPr>
        <w:t>（三）对来自金融行动特别工作组（FATF</w:t>
      </w:r>
      <w:r>
        <w:rPr>
          <w:rFonts w:ascii="仿宋" w:hAnsi="仿宋"/>
        </w:rPr>
        <w:t>）</w:t>
      </w:r>
      <w:r>
        <w:rPr>
          <w:rFonts w:hint="eastAsia" w:ascii="仿宋" w:hAnsi="仿宋"/>
        </w:rPr>
        <w:t>、亚太反洗钱组织（APG）、欧亚反洗钱和反恐怖融资组织（EAG</w:t>
      </w:r>
      <w:r>
        <w:rPr>
          <w:rFonts w:ascii="仿宋" w:hAnsi="仿宋"/>
        </w:rPr>
        <w:t>）</w:t>
      </w:r>
      <w:r>
        <w:rPr>
          <w:rFonts w:hint="eastAsia" w:ascii="仿宋" w:hAnsi="仿宋"/>
        </w:rPr>
        <w:t>等国际反洗钱组织指定高风险国家或者地区的客户，义务机构应当根据其风险状况，采取相应的强化身份识别措施。</w:t>
      </w:r>
    </w:p>
    <w:p>
      <w:pPr>
        <w:spacing w:line="360" w:lineRule="auto"/>
        <w:ind w:firstLine="480"/>
        <w:rPr>
          <w:rFonts w:ascii="仿宋" w:hAnsi="仿宋"/>
        </w:rPr>
      </w:pPr>
      <w:r>
        <w:rPr>
          <w:rFonts w:hint="eastAsia" w:ascii="仿宋" w:hAnsi="仿宋"/>
        </w:rPr>
        <w:t>（四</w:t>
      </w:r>
      <w:r>
        <w:rPr>
          <w:rFonts w:ascii="仿宋" w:hAnsi="仿宋"/>
        </w:rPr>
        <w:t>）</w:t>
      </w:r>
      <w:r>
        <w:rPr>
          <w:rFonts w:hint="eastAsia" w:ascii="仿宋" w:hAnsi="仿宋"/>
        </w:rPr>
        <w:t>义务机构委托境外第三方机构开展客户身份识别的，应当充分评估该机构所在国家或者地区的风险状况，并将其作为对客户身份识别、风险评估和分类管理的基础。</w:t>
      </w:r>
    </w:p>
    <w:p>
      <w:pPr>
        <w:spacing w:line="360" w:lineRule="auto"/>
        <w:ind w:firstLine="480" w:firstLineChars="200"/>
        <w:rPr>
          <w:rFonts w:ascii="仿宋" w:hAnsi="仿宋"/>
        </w:rPr>
      </w:pPr>
      <w:r>
        <w:rPr>
          <w:rFonts w:hint="eastAsia" w:ascii="仿宋" w:hAnsi="仿宋"/>
        </w:rPr>
        <w:t>当义务机构与委托的境外第三方机构属于同一金融集团，且集团层面采取的客户身份识别等反洗钱内控控制措施能有效降低境外国家或者地区的风险水平，则义务机构可以不将境外的风险状况纳入对客户身份识别、风险评估和分类管理的范畴。</w:t>
      </w:r>
    </w:p>
    <w:p/>
    <w:p>
      <w:pPr>
        <w:pStyle w:val="4"/>
        <w:numPr>
          <w:ilvl w:val="0"/>
          <w:numId w:val="4"/>
        </w:numPr>
        <w:spacing w:before="0" w:after="0" w:line="360" w:lineRule="auto"/>
        <w:rPr>
          <w:rFonts w:ascii="仿宋" w:hAnsi="仿宋"/>
          <w:kern w:val="0"/>
          <w:szCs w:val="24"/>
        </w:rPr>
      </w:pPr>
      <w:bookmarkStart w:id="357" w:name="_Toc3896793"/>
      <w:r>
        <w:rPr>
          <w:rFonts w:hint="eastAsia" w:ascii="仿宋" w:hAnsi="仿宋"/>
          <w:kern w:val="0"/>
          <w:szCs w:val="24"/>
        </w:rPr>
        <w:t>法人金融机构洗钱、恐怖融资和扩散融资风险管理原则</w:t>
      </w:r>
      <w:bookmarkEnd w:id="357"/>
    </w:p>
    <w:p>
      <w:pPr>
        <w:spacing w:line="360" w:lineRule="auto"/>
        <w:ind w:firstLine="420"/>
        <w:rPr>
          <w:rFonts w:ascii="仿宋" w:hAnsi="仿宋"/>
        </w:rPr>
      </w:pPr>
      <w:r>
        <w:rPr>
          <w:rFonts w:hint="eastAsia" w:ascii="仿宋" w:hAnsi="仿宋"/>
        </w:rPr>
        <w:t>依据：</w:t>
      </w:r>
    </w:p>
    <w:p>
      <w:pPr>
        <w:spacing w:line="360" w:lineRule="auto"/>
        <w:ind w:firstLine="420"/>
        <w:rPr>
          <w:rFonts w:ascii="仿宋" w:hAnsi="仿宋"/>
        </w:rPr>
      </w:pPr>
      <w:r>
        <w:rPr>
          <w:rFonts w:hint="eastAsia" w:ascii="仿宋" w:hAnsi="仿宋"/>
        </w:rPr>
        <w:t>《法人金融机构洗钱和恐怖融资风险管理指引（试行）》（银反洗发【2018】19号）第三条 法人金融机构应当高度重视洗钱、恐怖融资和扩散融资风险（以下统称洗钱风险）管理，充分认识在开展业务和经营管理过程中可能被违法犯罪活动利用而面临的洗钱风险。任何洗钱风险事件或案件的发生都可能带来严重的声誉风险和法律风险，并导致客户流失、业务损失和财务损失。</w:t>
      </w:r>
    </w:p>
    <w:p>
      <w:pPr>
        <w:spacing w:line="360" w:lineRule="auto"/>
        <w:ind w:firstLine="420"/>
        <w:rPr>
          <w:rFonts w:ascii="仿宋" w:hAnsi="仿宋"/>
        </w:rPr>
      </w:pPr>
      <w:r>
        <w:rPr>
          <w:rFonts w:hint="eastAsia" w:ascii="仿宋" w:hAnsi="仿宋"/>
        </w:rPr>
        <w:t xml:space="preserve">第四条 有效的洗钱风险管理是法人金融机构安全、稳健运行的基础，法人金融机构及其全体员工应当勤勉尽责，牢固树立合规意识和风险意识，建立健全洗钱风险管理体系，按照风险为本方法，合理配置资源，对本机构洗钱风险进行持续识别、审慎评估、有效控制及全程管理，有效防范洗钱风险。 </w:t>
      </w:r>
    </w:p>
    <w:p>
      <w:pPr>
        <w:spacing w:line="360" w:lineRule="auto"/>
        <w:ind w:firstLine="420"/>
        <w:rPr>
          <w:rFonts w:ascii="仿宋" w:hAnsi="仿宋"/>
        </w:rPr>
      </w:pPr>
      <w:r>
        <w:rPr>
          <w:rFonts w:hint="eastAsia" w:ascii="仿宋" w:hAnsi="仿宋"/>
        </w:rPr>
        <w:t xml:space="preserve">法人金融机构应当考虑洗钱风险与声誉、法律、流动性等风险之间的关联性和传导性，审慎评估洗钱风险对声誉、运营、财务等方面的影响，防范洗钱风险传导与扩散。 </w:t>
      </w:r>
    </w:p>
    <w:p>
      <w:pPr>
        <w:spacing w:line="360" w:lineRule="auto"/>
        <w:ind w:firstLine="420"/>
        <w:rPr>
          <w:rFonts w:ascii="仿宋" w:hAnsi="仿宋"/>
        </w:rPr>
      </w:pPr>
      <w:r>
        <w:rPr>
          <w:rFonts w:hint="eastAsia" w:ascii="仿宋" w:hAnsi="仿宋"/>
        </w:rPr>
        <w:t xml:space="preserve">第五条 法人金融机构洗钱风险管理应当遵循以下主要原则: </w:t>
      </w:r>
    </w:p>
    <w:p>
      <w:pPr>
        <w:spacing w:line="360" w:lineRule="auto"/>
        <w:ind w:firstLine="420"/>
        <w:rPr>
          <w:rFonts w:ascii="仿宋" w:hAnsi="仿宋"/>
        </w:rPr>
      </w:pPr>
      <w:r>
        <w:rPr>
          <w:rFonts w:hint="eastAsia" w:ascii="仿宋" w:hAnsi="仿宋"/>
        </w:rPr>
        <w:t xml:space="preserve">（一）全面性原则。洗钱风险管理应当贯穿决策、执行和监督的全过程；覆盖各项业务活动和管理流程；覆盖所有境内外分支机构及相关附属机构，以及相关部门、岗位和人员。 </w:t>
      </w:r>
    </w:p>
    <w:p>
      <w:pPr>
        <w:spacing w:line="360" w:lineRule="auto"/>
        <w:ind w:firstLine="420"/>
        <w:rPr>
          <w:rFonts w:ascii="仿宋" w:hAnsi="仿宋"/>
        </w:rPr>
      </w:pPr>
      <w:r>
        <w:rPr>
          <w:rFonts w:hint="eastAsia" w:ascii="仿宋" w:hAnsi="仿宋"/>
        </w:rPr>
        <w:t xml:space="preserve">（二）独立性原则。洗钱风险管理应当在组织架构、制度、流程、人员安排、报告路线等方面保持独立性，对业务经营和管理决策保持合理制衡。 </w:t>
      </w:r>
    </w:p>
    <w:p>
      <w:pPr>
        <w:spacing w:line="360" w:lineRule="auto"/>
        <w:ind w:firstLine="420"/>
        <w:rPr>
          <w:rFonts w:ascii="仿宋" w:hAnsi="仿宋"/>
        </w:rPr>
      </w:pPr>
      <w:r>
        <w:rPr>
          <w:rFonts w:hint="eastAsia" w:ascii="仿宋" w:hAnsi="仿宋"/>
        </w:rPr>
        <w:t xml:space="preserve">（三）匹配性原则。洗钱风险管理资源投入应当与所处行业风险特征、管理模式、业务规模、产品复杂程度等因素相适应，并根据情况变化及时调整。 </w:t>
      </w:r>
    </w:p>
    <w:p>
      <w:pPr>
        <w:spacing w:line="360" w:lineRule="auto"/>
        <w:ind w:firstLine="420"/>
        <w:rPr>
          <w:rFonts w:ascii="仿宋" w:hAnsi="仿宋"/>
        </w:rPr>
      </w:pPr>
      <w:r>
        <w:rPr>
          <w:rFonts w:hint="eastAsia" w:ascii="仿宋" w:hAnsi="仿宋"/>
        </w:rPr>
        <w:t xml:space="preserve">（四）有效性原则。洗钱风险管理应当融入日常业务和经营管理，根据实际风险情况采取有针对性的控制措施，将洗钱风险控制在自身风险管理能力范围内。 </w:t>
      </w:r>
    </w:p>
    <w:p>
      <w:pPr>
        <w:spacing w:line="360" w:lineRule="auto"/>
        <w:ind w:firstLine="420"/>
        <w:rPr>
          <w:rFonts w:ascii="仿宋" w:hAnsi="仿宋"/>
        </w:rPr>
      </w:pPr>
      <w:r>
        <w:rPr>
          <w:rFonts w:hint="eastAsia" w:ascii="仿宋" w:hAnsi="仿宋"/>
        </w:rPr>
        <w:t xml:space="preserve">第六条 洗钱风险管理体系应当包括但不限于以下要素: </w:t>
      </w:r>
    </w:p>
    <w:p>
      <w:pPr>
        <w:spacing w:line="360" w:lineRule="auto"/>
        <w:ind w:firstLine="420"/>
        <w:rPr>
          <w:rFonts w:ascii="仿宋" w:hAnsi="仿宋"/>
        </w:rPr>
      </w:pPr>
      <w:r>
        <w:rPr>
          <w:rFonts w:hint="eastAsia" w:ascii="仿宋" w:hAnsi="仿宋"/>
        </w:rPr>
        <w:t xml:space="preserve">（一）风险管理架构； </w:t>
      </w:r>
    </w:p>
    <w:p>
      <w:pPr>
        <w:spacing w:line="360" w:lineRule="auto"/>
        <w:ind w:firstLine="420"/>
        <w:rPr>
          <w:rFonts w:ascii="仿宋" w:hAnsi="仿宋"/>
        </w:rPr>
      </w:pPr>
      <w:r>
        <w:rPr>
          <w:rFonts w:hint="eastAsia" w:ascii="仿宋" w:hAnsi="仿宋"/>
        </w:rPr>
        <w:t xml:space="preserve">（二）风险管理策略； </w:t>
      </w:r>
    </w:p>
    <w:p>
      <w:pPr>
        <w:spacing w:line="360" w:lineRule="auto"/>
        <w:ind w:firstLine="420"/>
        <w:rPr>
          <w:rFonts w:ascii="仿宋" w:hAnsi="仿宋"/>
        </w:rPr>
      </w:pPr>
      <w:r>
        <w:rPr>
          <w:rFonts w:hint="eastAsia" w:ascii="仿宋" w:hAnsi="仿宋"/>
        </w:rPr>
        <w:t xml:space="preserve">（三）风险管理政策和程序； </w:t>
      </w:r>
    </w:p>
    <w:p>
      <w:pPr>
        <w:spacing w:line="360" w:lineRule="auto"/>
        <w:ind w:firstLine="420"/>
        <w:rPr>
          <w:rFonts w:ascii="仿宋" w:hAnsi="仿宋"/>
        </w:rPr>
      </w:pPr>
      <w:r>
        <w:rPr>
          <w:rFonts w:hint="eastAsia" w:ascii="仿宋" w:hAnsi="仿宋"/>
        </w:rPr>
        <w:t xml:space="preserve">（四）信息系统、数据治理； </w:t>
      </w:r>
    </w:p>
    <w:p>
      <w:pPr>
        <w:spacing w:line="360" w:lineRule="auto"/>
        <w:ind w:firstLine="420"/>
        <w:rPr>
          <w:rFonts w:ascii="仿宋" w:hAnsi="仿宋"/>
        </w:rPr>
      </w:pPr>
      <w:r>
        <w:rPr>
          <w:rFonts w:hint="eastAsia" w:ascii="仿宋" w:hAnsi="仿宋"/>
        </w:rPr>
        <w:t xml:space="preserve">（五）内部检查、审计、绩效考核和奖惩机制。 </w:t>
      </w:r>
    </w:p>
    <w:p>
      <w:pPr>
        <w:spacing w:line="360" w:lineRule="auto"/>
        <w:ind w:firstLine="420"/>
        <w:rPr>
          <w:rFonts w:ascii="仿宋" w:hAnsi="仿宋"/>
        </w:rPr>
      </w:pPr>
      <w:r>
        <w:rPr>
          <w:rFonts w:hint="eastAsia" w:ascii="仿宋" w:hAnsi="仿宋"/>
        </w:rPr>
        <w:t xml:space="preserve">第七条 法人金融机构应当积极建设洗钱风险管理文化，促进全体员工树立洗钱风险管理意识、坚持价值准则、恪守职业操守，营造主动管理、合规经营的良好文化氛围。 </w:t>
      </w:r>
    </w:p>
    <w:p>
      <w:pPr>
        <w:spacing w:line="360" w:lineRule="auto"/>
        <w:ind w:firstLine="420"/>
        <w:rPr>
          <w:rFonts w:ascii="仿宋" w:hAnsi="仿宋"/>
        </w:rPr>
      </w:pPr>
      <w:r>
        <w:rPr>
          <w:rFonts w:hint="eastAsia" w:ascii="仿宋" w:hAnsi="仿宋"/>
        </w:rPr>
        <w:t>第八条 中国人民银行及其分支机构依法对法人金融机构洗钱风险管理工作实施监督管理。</w:t>
      </w:r>
    </w:p>
    <w:p>
      <w:pPr>
        <w:spacing w:line="360" w:lineRule="auto"/>
        <w:ind w:firstLine="420"/>
        <w:rPr>
          <w:rFonts w:ascii="仿宋" w:hAnsi="仿宋"/>
        </w:rPr>
      </w:pPr>
    </w:p>
    <w:p>
      <w:pPr>
        <w:pStyle w:val="4"/>
        <w:numPr>
          <w:ilvl w:val="0"/>
          <w:numId w:val="4"/>
        </w:numPr>
        <w:spacing w:before="0" w:after="0" w:line="360" w:lineRule="auto"/>
        <w:rPr>
          <w:rFonts w:ascii="仿宋" w:hAnsi="仿宋"/>
          <w:kern w:val="0"/>
          <w:szCs w:val="24"/>
        </w:rPr>
      </w:pPr>
      <w:bookmarkStart w:id="358" w:name="_Toc3896794"/>
      <w:r>
        <w:rPr>
          <w:rFonts w:hint="eastAsia" w:ascii="仿宋" w:hAnsi="仿宋"/>
          <w:kern w:val="0"/>
          <w:szCs w:val="24"/>
        </w:rPr>
        <w:t>风险管理架构</w:t>
      </w:r>
      <w:bookmarkEnd w:id="358"/>
    </w:p>
    <w:p>
      <w:pPr>
        <w:spacing w:line="360" w:lineRule="auto"/>
        <w:ind w:firstLine="420"/>
        <w:rPr>
          <w:rFonts w:ascii="仿宋" w:hAnsi="仿宋"/>
        </w:rPr>
      </w:pPr>
      <w:r>
        <w:rPr>
          <w:rFonts w:hint="eastAsia" w:ascii="仿宋" w:hAnsi="仿宋"/>
        </w:rPr>
        <w:t>依据</w:t>
      </w:r>
      <w:r>
        <w:rPr>
          <w:rFonts w:ascii="仿宋" w:hAnsi="仿宋"/>
        </w:rPr>
        <w:t>：</w:t>
      </w:r>
    </w:p>
    <w:p>
      <w:pPr>
        <w:spacing w:line="360" w:lineRule="auto"/>
        <w:ind w:firstLine="420"/>
        <w:rPr>
          <w:rFonts w:ascii="仿宋" w:hAnsi="仿宋"/>
        </w:rPr>
      </w:pPr>
      <w:r>
        <w:rPr>
          <w:rFonts w:hint="eastAsia" w:ascii="仿宋" w:hAnsi="仿宋"/>
        </w:rPr>
        <w:t xml:space="preserve">《法人金融机构洗钱和恐怖融资风险管理指引（试行）》（银反洗发【2018】19号）第九条 法人金融机构应当建立组织健全、结构完整、职责明确的洗钱风险管理架构，规范董事会、监事会、高级管理层、业务部门、反洗钱管理部门、内部审计部门、人力资源部门、信息科技部门、境内外分支机构和相关附属机构在洗钱风险管理中的职责分工，建立层次清晰、相互协调、有效配合的运行机制。 </w:t>
      </w:r>
    </w:p>
    <w:p>
      <w:pPr>
        <w:spacing w:line="360" w:lineRule="auto"/>
        <w:ind w:firstLine="420"/>
        <w:rPr>
          <w:rFonts w:ascii="仿宋" w:hAnsi="仿宋"/>
        </w:rPr>
      </w:pPr>
      <w:r>
        <w:rPr>
          <w:rFonts w:hint="eastAsia" w:ascii="仿宋" w:hAnsi="仿宋"/>
        </w:rPr>
        <w:t xml:space="preserve">第十条 法人金融机构董事会承担洗钱风险管理的最终责任，主要履行以下职责: </w:t>
      </w:r>
    </w:p>
    <w:p>
      <w:pPr>
        <w:spacing w:line="360" w:lineRule="auto"/>
        <w:ind w:firstLine="420"/>
        <w:rPr>
          <w:rFonts w:ascii="仿宋" w:hAnsi="仿宋"/>
        </w:rPr>
      </w:pPr>
      <w:r>
        <w:rPr>
          <w:rFonts w:hint="eastAsia" w:ascii="仿宋" w:hAnsi="仿宋"/>
        </w:rPr>
        <w:t xml:space="preserve">（一）确立洗钱风险管理文化建设目标； </w:t>
      </w:r>
    </w:p>
    <w:p>
      <w:pPr>
        <w:spacing w:line="360" w:lineRule="auto"/>
        <w:ind w:firstLine="420"/>
        <w:rPr>
          <w:rFonts w:ascii="仿宋" w:hAnsi="仿宋"/>
        </w:rPr>
      </w:pPr>
      <w:r>
        <w:rPr>
          <w:rFonts w:hint="eastAsia" w:ascii="仿宋" w:hAnsi="仿宋"/>
        </w:rPr>
        <w:t xml:space="preserve">（二）审定洗钱风险管理策略； </w:t>
      </w:r>
    </w:p>
    <w:p>
      <w:pPr>
        <w:spacing w:line="360" w:lineRule="auto"/>
        <w:ind w:firstLine="420"/>
        <w:rPr>
          <w:rFonts w:ascii="仿宋" w:hAnsi="仿宋"/>
        </w:rPr>
      </w:pPr>
      <w:r>
        <w:rPr>
          <w:rFonts w:hint="eastAsia" w:ascii="仿宋" w:hAnsi="仿宋"/>
        </w:rPr>
        <w:t xml:space="preserve">（三）审批洗钱风险管理的政策和程序； </w:t>
      </w:r>
    </w:p>
    <w:p>
      <w:pPr>
        <w:spacing w:line="360" w:lineRule="auto"/>
        <w:ind w:firstLine="420"/>
        <w:rPr>
          <w:rFonts w:ascii="仿宋" w:hAnsi="仿宋"/>
        </w:rPr>
      </w:pPr>
      <w:r>
        <w:rPr>
          <w:rFonts w:hint="eastAsia" w:ascii="仿宋" w:hAnsi="仿宋"/>
        </w:rPr>
        <w:t xml:space="preserve">（四）授权高级管理人员牵头负责洗钱风险管理； </w:t>
      </w:r>
    </w:p>
    <w:p>
      <w:pPr>
        <w:spacing w:line="360" w:lineRule="auto"/>
        <w:ind w:firstLine="420"/>
        <w:rPr>
          <w:rFonts w:ascii="仿宋" w:hAnsi="仿宋"/>
        </w:rPr>
      </w:pPr>
      <w:r>
        <w:rPr>
          <w:rFonts w:hint="eastAsia" w:ascii="仿宋" w:hAnsi="仿宋"/>
        </w:rPr>
        <w:t xml:space="preserve">（五）定期审阅反洗钱工作报告，及时了解重大洗钱风险事件及处理情况； </w:t>
      </w:r>
    </w:p>
    <w:p>
      <w:pPr>
        <w:spacing w:line="360" w:lineRule="auto"/>
        <w:ind w:firstLine="420"/>
        <w:rPr>
          <w:rFonts w:ascii="仿宋" w:hAnsi="仿宋"/>
        </w:rPr>
      </w:pPr>
      <w:r>
        <w:rPr>
          <w:rFonts w:hint="eastAsia" w:ascii="仿宋" w:hAnsi="仿宋"/>
        </w:rPr>
        <w:t xml:space="preserve">（六）其他相关职。 </w:t>
      </w:r>
    </w:p>
    <w:p>
      <w:pPr>
        <w:spacing w:line="360" w:lineRule="auto"/>
        <w:ind w:firstLine="420"/>
        <w:rPr>
          <w:rFonts w:ascii="仿宋" w:hAnsi="仿宋"/>
        </w:rPr>
      </w:pPr>
      <w:r>
        <w:rPr>
          <w:rFonts w:hint="eastAsia" w:ascii="仿宋" w:hAnsi="仿宋"/>
        </w:rPr>
        <w:t>董事会可以授权下设的专业委员会履行其洗钱风险管理的部分职责。专业委员会负责向董事会提供洗钱风险管理专业意见。</w:t>
      </w:r>
    </w:p>
    <w:p>
      <w:pPr>
        <w:spacing w:line="360" w:lineRule="auto"/>
        <w:ind w:firstLine="420"/>
        <w:rPr>
          <w:rFonts w:ascii="仿宋" w:hAnsi="仿宋"/>
        </w:rPr>
      </w:pPr>
      <w:r>
        <w:rPr>
          <w:rFonts w:hint="eastAsia" w:ascii="仿宋" w:hAnsi="仿宋"/>
        </w:rPr>
        <w:t xml:space="preserve">第十一条 法人金融机构监事会承担洗钱风险管理的监督责任，负责监督董事会和高级管理层在洗钱风险管理方面的履职尽责情况并督促整改，对法人金融机构的洗钱风险管理提出建议和意见。 </w:t>
      </w:r>
    </w:p>
    <w:p>
      <w:pPr>
        <w:spacing w:line="360" w:lineRule="auto"/>
        <w:ind w:firstLine="420"/>
        <w:rPr>
          <w:rFonts w:ascii="仿宋" w:hAnsi="仿宋"/>
        </w:rPr>
      </w:pPr>
      <w:r>
        <w:rPr>
          <w:rFonts w:hint="eastAsia" w:ascii="仿宋" w:hAnsi="仿宋"/>
        </w:rPr>
        <w:t xml:space="preserve">第十二条  法人金融机构高级管理层承担洗钱风险管理的实施责任，执行董事会决议，主要履行以下职责: </w:t>
      </w:r>
    </w:p>
    <w:p>
      <w:pPr>
        <w:spacing w:line="360" w:lineRule="auto"/>
        <w:ind w:firstLine="420"/>
        <w:rPr>
          <w:rFonts w:ascii="仿宋" w:hAnsi="仿宋"/>
        </w:rPr>
      </w:pPr>
      <w:r>
        <w:rPr>
          <w:rFonts w:hint="eastAsia" w:ascii="仿宋" w:hAnsi="仿宋"/>
        </w:rPr>
        <w:t xml:space="preserve">（一）推动洗钱风险管理文化建设； </w:t>
      </w:r>
    </w:p>
    <w:p>
      <w:pPr>
        <w:spacing w:line="360" w:lineRule="auto"/>
        <w:ind w:firstLine="420"/>
        <w:rPr>
          <w:rFonts w:ascii="仿宋" w:hAnsi="仿宋"/>
        </w:rPr>
      </w:pPr>
      <w:r>
        <w:rPr>
          <w:rFonts w:hint="eastAsia" w:ascii="仿宋" w:hAnsi="仿宋"/>
        </w:rPr>
        <w:t xml:space="preserve">（二）建立并及时调整洗钱风险管理组织架构，明确反洗钱管理部门、业务部门及其他部门在洗钱风险管理中的职责分工和协调机制； </w:t>
      </w:r>
    </w:p>
    <w:p>
      <w:pPr>
        <w:spacing w:line="360" w:lineRule="auto"/>
        <w:ind w:firstLine="420"/>
        <w:rPr>
          <w:rFonts w:ascii="仿宋" w:hAnsi="仿宋"/>
        </w:rPr>
      </w:pPr>
      <w:r>
        <w:rPr>
          <w:rFonts w:hint="eastAsia" w:ascii="仿宋" w:hAnsi="仿宋"/>
        </w:rPr>
        <w:t xml:space="preserve">（三）制定、调整洗钱风险管理策略及其执行机制；（四）审核洗钱风险管理政策和程序； </w:t>
      </w:r>
    </w:p>
    <w:p>
      <w:pPr>
        <w:spacing w:line="360" w:lineRule="auto"/>
        <w:ind w:firstLine="420"/>
        <w:rPr>
          <w:rFonts w:ascii="仿宋" w:hAnsi="仿宋"/>
        </w:rPr>
      </w:pPr>
      <w:r>
        <w:rPr>
          <w:rFonts w:hint="eastAsia" w:ascii="仿宋" w:hAnsi="仿宋"/>
        </w:rPr>
        <w:t xml:space="preserve">（五）定期向董事会报告反洗钱工作情况，及时向董事会和监事会报告重大洗钱风险事件； </w:t>
      </w:r>
    </w:p>
    <w:p>
      <w:pPr>
        <w:spacing w:line="360" w:lineRule="auto"/>
        <w:ind w:firstLine="420"/>
        <w:rPr>
          <w:rFonts w:ascii="仿宋" w:hAnsi="仿宋"/>
        </w:rPr>
      </w:pPr>
      <w:r>
        <w:rPr>
          <w:rFonts w:hint="eastAsia" w:ascii="仿宋" w:hAnsi="仿宋"/>
        </w:rPr>
        <w:t xml:space="preserve">（六）组织落实反洗钱信息系统和数据治理； </w:t>
      </w:r>
    </w:p>
    <w:p>
      <w:pPr>
        <w:spacing w:line="360" w:lineRule="auto"/>
        <w:ind w:firstLine="420"/>
        <w:rPr>
          <w:rFonts w:ascii="仿宋" w:hAnsi="仿宋"/>
        </w:rPr>
      </w:pPr>
      <w:r>
        <w:rPr>
          <w:rFonts w:hint="eastAsia" w:ascii="仿宋" w:hAnsi="仿宋"/>
        </w:rPr>
        <w:t xml:space="preserve">（七）组织落实反洗钱绩效考核和奖惩机制； </w:t>
      </w:r>
    </w:p>
    <w:p>
      <w:pPr>
        <w:spacing w:line="360" w:lineRule="auto"/>
        <w:ind w:firstLine="420"/>
        <w:rPr>
          <w:rFonts w:ascii="仿宋" w:hAnsi="仿宋"/>
        </w:rPr>
      </w:pPr>
      <w:r>
        <w:rPr>
          <w:rFonts w:hint="eastAsia" w:ascii="仿宋" w:hAnsi="仿宋"/>
        </w:rPr>
        <w:t xml:space="preserve">（八）根据董事会授权对违反洗钱风险管理政策和程序的情况进行处理； </w:t>
      </w:r>
    </w:p>
    <w:p>
      <w:pPr>
        <w:spacing w:line="360" w:lineRule="auto"/>
        <w:ind w:firstLine="420"/>
        <w:rPr>
          <w:rFonts w:ascii="仿宋" w:hAnsi="仿宋"/>
        </w:rPr>
      </w:pPr>
      <w:r>
        <w:rPr>
          <w:rFonts w:hint="eastAsia" w:ascii="仿宋" w:hAnsi="仿宋"/>
        </w:rPr>
        <w:t xml:space="preserve">（九）其他相关职责。 </w:t>
      </w:r>
    </w:p>
    <w:p>
      <w:pPr>
        <w:spacing w:line="360" w:lineRule="auto"/>
        <w:ind w:firstLine="420"/>
        <w:rPr>
          <w:rFonts w:ascii="仿宋" w:hAnsi="仿宋"/>
        </w:rPr>
      </w:pPr>
      <w:r>
        <w:rPr>
          <w:rFonts w:hint="eastAsia" w:ascii="仿宋" w:hAnsi="仿宋"/>
        </w:rPr>
        <w:t xml:space="preserve">第十三条 法人金融机构应当任命或授权一名高级管理人员牵头负责洗钱风险管理工作，其有权独立开展工作，直接向董事会报告洗钱风险管理情况。法人金融机构应当确保其能够充分获取履职所需的权限和资源，避免可能影响其有效履职的利益冲突。 </w:t>
      </w:r>
    </w:p>
    <w:p>
      <w:pPr>
        <w:spacing w:line="360" w:lineRule="auto"/>
        <w:ind w:firstLine="420"/>
        <w:rPr>
          <w:rFonts w:ascii="仿宋" w:hAnsi="仿宋"/>
        </w:rPr>
      </w:pPr>
      <w:r>
        <w:rPr>
          <w:rFonts w:hint="eastAsia" w:ascii="仿宋" w:hAnsi="仿宋"/>
        </w:rPr>
        <w:t>牵头负责洗钱风险管理工作的高级管理人员应当具备较强的履职能力和职业操守，同时具有五年以上合规或风险管理工作经历，或者具有所在行业十年以上工作经历。法人金融机构任命上述高级管理人员，应当按照规定向中国人民银行或当地人民银行备案。</w:t>
      </w:r>
    </w:p>
    <w:p>
      <w:pPr>
        <w:spacing w:line="360" w:lineRule="auto"/>
        <w:ind w:firstLine="420"/>
        <w:rPr>
          <w:rFonts w:ascii="仿宋" w:hAnsi="仿宋"/>
        </w:rPr>
      </w:pPr>
      <w:r>
        <w:rPr>
          <w:rFonts w:hint="eastAsia" w:ascii="仿宋" w:hAnsi="仿宋"/>
        </w:rPr>
        <w:t xml:space="preserve">第十四条 反洗钱管理部门牵头开展洗钱风险管理工作，推动落实各项反洗钱工作，主要履行以下职责: </w:t>
      </w:r>
    </w:p>
    <w:p>
      <w:pPr>
        <w:spacing w:line="360" w:lineRule="auto"/>
        <w:ind w:firstLine="420"/>
        <w:rPr>
          <w:rFonts w:ascii="仿宋" w:hAnsi="仿宋"/>
        </w:rPr>
      </w:pPr>
      <w:r>
        <w:rPr>
          <w:rFonts w:hint="eastAsia" w:ascii="仿宋" w:hAnsi="仿宋"/>
        </w:rPr>
        <w:t xml:space="preserve">（一）制定起草洗钱风险管理政策和程序； </w:t>
      </w:r>
    </w:p>
    <w:p>
      <w:pPr>
        <w:spacing w:line="360" w:lineRule="auto"/>
        <w:ind w:firstLine="420"/>
        <w:rPr>
          <w:rFonts w:ascii="仿宋" w:hAnsi="仿宋"/>
        </w:rPr>
      </w:pPr>
      <w:r>
        <w:rPr>
          <w:rFonts w:hint="eastAsia" w:ascii="仿宋" w:hAnsi="仿宋"/>
        </w:rPr>
        <w:t xml:space="preserve">（二）贯彻落实反洗钱法律法规和监管要求，建立健全反洗钱内部控制制度及内部检查机制； </w:t>
      </w:r>
    </w:p>
    <w:p>
      <w:pPr>
        <w:spacing w:line="360" w:lineRule="auto"/>
        <w:ind w:firstLine="420"/>
        <w:rPr>
          <w:rFonts w:ascii="仿宋" w:hAnsi="仿宋"/>
        </w:rPr>
      </w:pPr>
      <w:r>
        <w:rPr>
          <w:rFonts w:hint="eastAsia" w:ascii="仿宋" w:hAnsi="仿宋"/>
        </w:rPr>
        <w:t xml:space="preserve">（三）识别、评估、监测本机构的洗钱风险，提出控制洗钱风险的措施和建议，及时向高级管理层报告； </w:t>
      </w:r>
    </w:p>
    <w:p>
      <w:pPr>
        <w:spacing w:line="360" w:lineRule="auto"/>
        <w:ind w:firstLine="420"/>
        <w:rPr>
          <w:rFonts w:ascii="仿宋" w:hAnsi="仿宋"/>
        </w:rPr>
      </w:pPr>
      <w:r>
        <w:rPr>
          <w:rFonts w:hint="eastAsia" w:ascii="仿宋" w:hAnsi="仿宋"/>
        </w:rPr>
        <w:t xml:space="preserve">（四）持续检查洗钱风险管理策略及洗钱风险管理政策和程序的执行情况，对违反风险管理政策和程序的情况及时预警、报告并提出处理建议； </w:t>
      </w:r>
    </w:p>
    <w:p>
      <w:pPr>
        <w:spacing w:line="360" w:lineRule="auto"/>
        <w:ind w:firstLine="420"/>
        <w:rPr>
          <w:rFonts w:ascii="仿宋" w:hAnsi="仿宋"/>
        </w:rPr>
      </w:pPr>
      <w:r>
        <w:rPr>
          <w:rFonts w:hint="eastAsia" w:ascii="仿宋" w:hAnsi="仿宋"/>
        </w:rPr>
        <w:t xml:space="preserve">（五）建立反洗钱工作协调机制，指导业务部门开展洗钱 </w:t>
      </w:r>
    </w:p>
    <w:p>
      <w:pPr>
        <w:spacing w:line="360" w:lineRule="auto"/>
        <w:ind w:firstLine="420"/>
        <w:rPr>
          <w:rFonts w:ascii="仿宋" w:hAnsi="仿宋"/>
        </w:rPr>
      </w:pPr>
      <w:r>
        <w:rPr>
          <w:rFonts w:hint="eastAsia" w:ascii="仿宋" w:hAnsi="仿宋"/>
        </w:rPr>
        <w:t xml:space="preserve">（六）组织或协调各相关部门开展客户洗钱风险分类管理； </w:t>
      </w:r>
    </w:p>
    <w:p>
      <w:pPr>
        <w:spacing w:line="360" w:lineRule="auto"/>
        <w:ind w:firstLine="420"/>
        <w:rPr>
          <w:rFonts w:ascii="仿宋" w:hAnsi="仿宋"/>
        </w:rPr>
      </w:pPr>
      <w:r>
        <w:rPr>
          <w:rFonts w:hint="eastAsia" w:ascii="仿宋" w:hAnsi="仿宋"/>
        </w:rPr>
        <w:t xml:space="preserve">（七）组织落实交易监测和名单监控的相关要求，按照规定报告大额交易和可疑交易； </w:t>
      </w:r>
    </w:p>
    <w:p>
      <w:pPr>
        <w:spacing w:line="360" w:lineRule="auto"/>
        <w:ind w:firstLine="420"/>
        <w:rPr>
          <w:rFonts w:ascii="仿宋" w:hAnsi="仿宋"/>
        </w:rPr>
      </w:pPr>
      <w:r>
        <w:rPr>
          <w:rFonts w:hint="eastAsia" w:ascii="仿宋" w:hAnsi="仿宋"/>
        </w:rPr>
        <w:t xml:space="preserve">（八）牵头配合反洗钱监管，协调配合反洗钱行政调查；（九）组织或协调相关部门开展反洗钱宣传和培训、建立健全反洗钱绩效考核和奖惩机制、建设完善反洗钱信息系统。 </w:t>
      </w:r>
    </w:p>
    <w:p>
      <w:pPr>
        <w:spacing w:line="360" w:lineRule="auto"/>
        <w:ind w:firstLine="420"/>
        <w:rPr>
          <w:rFonts w:ascii="仿宋" w:hAnsi="仿宋"/>
        </w:rPr>
      </w:pPr>
      <w:r>
        <w:rPr>
          <w:rFonts w:hint="eastAsia" w:ascii="仿宋" w:hAnsi="仿宋"/>
        </w:rPr>
        <w:t xml:space="preserve">《法人金融机构洗钱和恐怖融资风险管理指引（试行）》（银反洗发【2018】19号）第十五条 业务部门承担洗钱风险管理的直接责任，主要履行以下职责: </w:t>
      </w:r>
    </w:p>
    <w:p>
      <w:pPr>
        <w:spacing w:line="360" w:lineRule="auto"/>
        <w:ind w:firstLine="420"/>
        <w:rPr>
          <w:rFonts w:ascii="仿宋" w:hAnsi="仿宋"/>
        </w:rPr>
      </w:pPr>
      <w:r>
        <w:rPr>
          <w:rFonts w:hint="eastAsia" w:ascii="仿宋" w:hAnsi="仿宋"/>
        </w:rPr>
        <w:t xml:space="preserve">（一）识别、评估、监测本业务条线的洗钱风险，及时向反洗钱管理部门报告； </w:t>
      </w:r>
    </w:p>
    <w:p>
      <w:pPr>
        <w:spacing w:line="360" w:lineRule="auto"/>
        <w:ind w:firstLine="420"/>
        <w:rPr>
          <w:rFonts w:ascii="仿宋" w:hAnsi="仿宋"/>
        </w:rPr>
      </w:pPr>
      <w:r>
        <w:rPr>
          <w:rFonts w:hint="eastAsia" w:ascii="仿宋" w:hAnsi="仿宋"/>
        </w:rPr>
        <w:t xml:space="preserve">（二）建立相应的工作机制，将洗钱风险管理要求嵌入产品研发、流程设计、业务管理和具体操作； </w:t>
      </w:r>
    </w:p>
    <w:p>
      <w:pPr>
        <w:spacing w:line="360" w:lineRule="auto"/>
        <w:ind w:firstLine="420"/>
        <w:rPr>
          <w:rFonts w:ascii="仿宋" w:hAnsi="仿宋"/>
        </w:rPr>
      </w:pPr>
      <w:r>
        <w:rPr>
          <w:rFonts w:hint="eastAsia" w:ascii="仿宋" w:hAnsi="仿宋"/>
        </w:rPr>
        <w:t xml:space="preserve">（三）开展或配合开展客户身份识别和客户洗钱风险分类管理，采取针对性的风险应对措施； </w:t>
      </w:r>
    </w:p>
    <w:p>
      <w:pPr>
        <w:spacing w:line="360" w:lineRule="auto"/>
        <w:ind w:firstLine="420"/>
        <w:rPr>
          <w:rFonts w:ascii="仿宋" w:hAnsi="仿宋"/>
        </w:rPr>
      </w:pPr>
      <w:r>
        <w:rPr>
          <w:rFonts w:hint="eastAsia" w:ascii="仿宋" w:hAnsi="仿宋"/>
        </w:rPr>
        <w:t xml:space="preserve">（四）以业务（含产品、服务）的洗钱风险评估为基础，完善各项业务操作流程； </w:t>
      </w:r>
    </w:p>
    <w:p>
      <w:pPr>
        <w:spacing w:line="360" w:lineRule="auto"/>
        <w:ind w:firstLine="420"/>
        <w:rPr>
          <w:rFonts w:ascii="仿宋" w:hAnsi="仿宋"/>
        </w:rPr>
      </w:pPr>
      <w:r>
        <w:rPr>
          <w:rFonts w:hint="eastAsia" w:ascii="仿宋" w:hAnsi="仿宋"/>
        </w:rPr>
        <w:t xml:space="preserve">（五）完整并妥善保存客户身份资料及交易记录； </w:t>
      </w:r>
    </w:p>
    <w:p>
      <w:pPr>
        <w:spacing w:line="360" w:lineRule="auto"/>
        <w:ind w:firstLine="420"/>
        <w:rPr>
          <w:rFonts w:ascii="仿宋" w:hAnsi="仿宋"/>
        </w:rPr>
      </w:pPr>
      <w:r>
        <w:rPr>
          <w:rFonts w:hint="eastAsia" w:ascii="仿宋" w:hAnsi="仿宋"/>
        </w:rPr>
        <w:t xml:space="preserve">（六）开展或配合开展交易监测和名单监控，确保名单监控有效性，按照规定对相关资产和账户采取管控措施； </w:t>
      </w:r>
    </w:p>
    <w:p>
      <w:pPr>
        <w:spacing w:line="360" w:lineRule="auto"/>
        <w:ind w:firstLine="420"/>
        <w:rPr>
          <w:rFonts w:ascii="仿宋" w:hAnsi="仿宋"/>
        </w:rPr>
      </w:pPr>
      <w:r>
        <w:rPr>
          <w:rFonts w:hint="eastAsia" w:ascii="仿宋" w:hAnsi="仿宋"/>
        </w:rPr>
        <w:t xml:space="preserve">（七）配合反洗钱监管和反洗钱行政调查工作； </w:t>
      </w:r>
    </w:p>
    <w:p>
      <w:pPr>
        <w:spacing w:line="360" w:lineRule="auto"/>
        <w:ind w:firstLine="420"/>
        <w:rPr>
          <w:rFonts w:ascii="仿宋" w:hAnsi="仿宋"/>
        </w:rPr>
      </w:pPr>
      <w:r>
        <w:rPr>
          <w:rFonts w:hint="eastAsia" w:ascii="仿宋" w:hAnsi="仿宋"/>
        </w:rPr>
        <w:t xml:space="preserve">（八）开展本业务条线反洗钱工作检查； </w:t>
      </w:r>
    </w:p>
    <w:p>
      <w:pPr>
        <w:spacing w:line="360" w:lineRule="auto"/>
        <w:ind w:firstLine="420"/>
        <w:rPr>
          <w:rFonts w:ascii="仿宋" w:hAnsi="仿宋"/>
        </w:rPr>
      </w:pPr>
      <w:r>
        <w:rPr>
          <w:rFonts w:hint="eastAsia" w:ascii="仿宋" w:hAnsi="仿宋"/>
        </w:rPr>
        <w:t xml:space="preserve">（九）开展本业务条线反洗钱宣传和培训； </w:t>
      </w:r>
    </w:p>
    <w:p>
      <w:pPr>
        <w:spacing w:line="360" w:lineRule="auto"/>
        <w:ind w:firstLine="420"/>
        <w:rPr>
          <w:rFonts w:ascii="仿宋" w:hAnsi="仿宋"/>
        </w:rPr>
      </w:pPr>
      <w:r>
        <w:rPr>
          <w:rFonts w:hint="eastAsia" w:ascii="仿宋" w:hAnsi="仿宋"/>
        </w:rPr>
        <w:t xml:space="preserve">（十）配合反洗钱管理部门开展其他反洗钱工作。 </w:t>
      </w:r>
    </w:p>
    <w:p>
      <w:pPr>
        <w:spacing w:line="360" w:lineRule="auto"/>
        <w:ind w:firstLine="420"/>
        <w:rPr>
          <w:rFonts w:ascii="仿宋" w:hAnsi="仿宋"/>
        </w:rPr>
      </w:pPr>
      <w:r>
        <w:rPr>
          <w:rFonts w:hint="eastAsia" w:ascii="仿宋" w:hAnsi="仿宋"/>
        </w:rPr>
        <w:t xml:space="preserve">《法人金融机构洗钱和恐怖融资风险管理指引（试行）》（银反洗发【2018】19号）第十六条、第十四条、第十五条所述反洗钱工作职责、事项，涉及运营管理、风险管理、法律事务、财务会计、安全保卫等其他部门的，法人金融机构应当就上述部门对相关工作的职责分工进行明确规定。 </w:t>
      </w:r>
    </w:p>
    <w:p>
      <w:pPr>
        <w:spacing w:line="360" w:lineRule="auto"/>
        <w:ind w:firstLine="420"/>
        <w:rPr>
          <w:rFonts w:ascii="仿宋" w:hAnsi="仿宋"/>
        </w:rPr>
      </w:pPr>
      <w:r>
        <w:rPr>
          <w:rFonts w:hint="eastAsia" w:ascii="仿宋" w:hAnsi="仿宋"/>
        </w:rPr>
        <w:t xml:space="preserve">第十七条 内部审计部门负责对反洗钱法律法规和监管要求的执行情况、内部控制制度的有效性和执行情况、洗钱风险管理情况进行独立、客观的审计评价。 </w:t>
      </w:r>
    </w:p>
    <w:p>
      <w:pPr>
        <w:spacing w:line="360" w:lineRule="auto"/>
        <w:ind w:firstLine="420"/>
        <w:rPr>
          <w:rFonts w:ascii="仿宋" w:hAnsi="仿宋"/>
        </w:rPr>
      </w:pPr>
      <w:r>
        <w:rPr>
          <w:rFonts w:hint="eastAsia" w:ascii="仿宋" w:hAnsi="仿宋"/>
        </w:rPr>
        <w:t xml:space="preserve">未设立审计部门的法人金融机构，应当明确相关工作由承担审计职能的其他部门承担，并保证相关工作的独立性。 </w:t>
      </w:r>
    </w:p>
    <w:p>
      <w:pPr>
        <w:spacing w:line="360" w:lineRule="auto"/>
        <w:ind w:firstLine="420"/>
        <w:rPr>
          <w:rFonts w:ascii="仿宋" w:hAnsi="仿宋"/>
        </w:rPr>
      </w:pPr>
      <w:r>
        <w:rPr>
          <w:rFonts w:hint="eastAsia" w:ascii="仿宋" w:hAnsi="仿宋"/>
        </w:rPr>
        <w:t xml:space="preserve">第十八条 人力资源部门负责洗钱风险管理的人力资源保障，结合洗钱风险管理需求，合理配置洗钱风险管理职位、职级和职数，选用符合标准的人员，建立反洗钱绩效考核和奖惩机制，为反洗钱宣导和培训提供支持。 </w:t>
      </w:r>
    </w:p>
    <w:p>
      <w:pPr>
        <w:spacing w:line="360" w:lineRule="auto"/>
        <w:ind w:firstLine="420"/>
        <w:rPr>
          <w:rFonts w:ascii="仿宋" w:hAnsi="仿宋"/>
        </w:rPr>
      </w:pPr>
      <w:r>
        <w:rPr>
          <w:rFonts w:hint="eastAsia" w:ascii="仿宋" w:hAnsi="仿宋"/>
        </w:rPr>
        <w:t xml:space="preserve">第十九条 信息科技部门负责反洗钱信息系统及相关系统的开发、日常维护及升级等工作，为洗钱风险管理提供必要的硬件设备和技术支持，根据相关数据安全和保密管理等监管要求，对客户、账户、交易信息及其他相关电子化信息进行保管和处理。 </w:t>
      </w:r>
    </w:p>
    <w:p>
      <w:pPr>
        <w:spacing w:line="360" w:lineRule="auto"/>
        <w:ind w:firstLine="420"/>
        <w:rPr>
          <w:rFonts w:ascii="仿宋" w:hAnsi="仿宋"/>
        </w:rPr>
      </w:pPr>
      <w:r>
        <w:rPr>
          <w:rFonts w:hint="eastAsia" w:ascii="仿宋" w:hAnsi="仿宋"/>
        </w:rPr>
        <w:t xml:space="preserve">第二十条 法人金融机构应当加强对境内外分支机构和相关附属机构的管理指导和监督，采取必要措施保证洗钱风险管理 </w:t>
      </w:r>
    </w:p>
    <w:p>
      <w:pPr>
        <w:spacing w:line="360" w:lineRule="auto"/>
        <w:ind w:firstLine="420"/>
        <w:rPr>
          <w:rFonts w:ascii="仿宋" w:hAnsi="仿宋"/>
        </w:rPr>
      </w:pPr>
      <w:r>
        <w:rPr>
          <w:rFonts w:hint="eastAsia" w:ascii="仿宋" w:hAnsi="仿宋"/>
        </w:rPr>
        <w:t xml:space="preserve">政策和程序在境内外分支机构和相关附属机构得到充分理解与有效执行，保持洗钱风险管理的一致性和有效性。 </w:t>
      </w:r>
    </w:p>
    <w:p>
      <w:pPr>
        <w:spacing w:line="360" w:lineRule="auto"/>
        <w:ind w:firstLine="420"/>
        <w:rPr>
          <w:rFonts w:ascii="仿宋" w:hAnsi="仿宋"/>
        </w:rPr>
      </w:pPr>
      <w:r>
        <w:rPr>
          <w:rFonts w:hint="eastAsia" w:ascii="仿宋" w:hAnsi="仿宋"/>
        </w:rPr>
        <w:t xml:space="preserve">对于在境外设有分支机构或相关附属机构的法人金融机构，如果本指引的要求比所驻国家或地区的相关规定更为严格，但所驻国家或地区法律禁止或限制境外分支机构和相关附属机构实施本指引，法人金融机构应当采取适当的其他措施应对洗钱风险，并向中国人民银行报告。如果其他措施无法有效控制风险，法人金融机构应当考虑在适当情况下关闭境外分支机构或相关附属机构。 </w:t>
      </w:r>
    </w:p>
    <w:p>
      <w:pPr>
        <w:spacing w:line="360" w:lineRule="auto"/>
        <w:ind w:firstLine="420"/>
        <w:rPr>
          <w:rFonts w:ascii="仿宋" w:hAnsi="仿宋"/>
        </w:rPr>
      </w:pPr>
      <w:r>
        <w:rPr>
          <w:rFonts w:hint="eastAsia" w:ascii="仿宋" w:hAnsi="仿宋"/>
        </w:rPr>
        <w:t>第二十一条 金融控股公司（集团）应当在集团层面实施统一的洗钱风险管理政策和程序，结合各专业公司的业务和产品特点，以客户为单位，建立适用于集团层面的可疑交易监测体系有效识别和应对跨市场、跨行业和跨机构的洗钱风险，防范洗钱风险在不同专业公司间的传导。</w:t>
      </w:r>
    </w:p>
    <w:p>
      <w:pPr>
        <w:spacing w:line="360" w:lineRule="auto"/>
        <w:ind w:firstLine="420"/>
        <w:rPr>
          <w:rFonts w:ascii="仿宋" w:hAnsi="仿宋"/>
        </w:rPr>
      </w:pPr>
      <w:r>
        <w:rPr>
          <w:rFonts w:hint="eastAsia" w:ascii="仿宋" w:hAnsi="仿宋"/>
        </w:rPr>
        <w:t xml:space="preserve">第二十二条 法人金融机构反洗钱资源配置应当与其业务发展相匹配，配备充足的洗钱风险管理人员，其中:反洗钱管理部门应当配备专职洗钱风险管理岗位（反洗钱岗位）人员，业务部门、境内外分支机构及相关附属机构应当根据业务实际和洗钱风险状况配备专职或兼职洗钱风险管理岗位（反洗钱岗位）人员。法人金融机构应当从制度建设、业务审核、风险评估、系统建设、监测分析、合规制裁、案件管理等角度细分洗钱风险管理岗位（反洗钱岗位）。洗钱风险管理岗位（反洗钱岗位）职级不得低于法人金融机构其他风险管理岗位职级，不得将洗钱风险管理岗位（反洗钱岗位）简单设置为操作类岗位或外包。从事监测分析工作的人员配备应当与本机构的可疑交易甄别分析工作量相匹配。专职人员应当具有三年以上金融行业从业经历，专职人员和兼职人员均应当具备必要的履职能力和职业操守。 </w:t>
      </w:r>
    </w:p>
    <w:p>
      <w:pPr>
        <w:spacing w:line="360" w:lineRule="auto"/>
        <w:ind w:firstLine="420"/>
        <w:rPr>
          <w:rFonts w:ascii="仿宋" w:hAnsi="仿宋"/>
        </w:rPr>
      </w:pPr>
      <w:r>
        <w:rPr>
          <w:rFonts w:hint="eastAsia" w:ascii="仿宋" w:hAnsi="仿宋"/>
        </w:rPr>
        <w:t xml:space="preserve">法人金融机构有条件配备专职人员的，不得以兼职人员替代专职人员。兼职人员占全部洗钱风险管理人员的比例不得高于80％ </w:t>
      </w:r>
    </w:p>
    <w:p>
      <w:pPr>
        <w:spacing w:line="360" w:lineRule="auto"/>
        <w:ind w:firstLine="420"/>
        <w:rPr>
          <w:rFonts w:ascii="仿宋" w:hAnsi="仿宋"/>
        </w:rPr>
      </w:pPr>
      <w:r>
        <w:rPr>
          <w:rFonts w:hint="eastAsia" w:ascii="仿宋" w:hAnsi="仿宋"/>
        </w:rPr>
        <w:t>第二十三条 法人金融机构在聘用员工、任命或授权高级管理人员、选用洗钱风险管理人员、引入战略投资者或在主要股东和控股股东入股之前，应当对其是否涉及刑事犯罪、是否存在其他犯罪记录及过往履职经历等情况进行充分的背景调查，评估可能存在的洗钱风险。</w:t>
      </w:r>
    </w:p>
    <w:p>
      <w:pPr>
        <w:spacing w:line="360" w:lineRule="auto"/>
        <w:ind w:firstLine="420"/>
        <w:rPr>
          <w:rFonts w:ascii="仿宋" w:hAnsi="仿宋"/>
        </w:rPr>
      </w:pPr>
    </w:p>
    <w:p>
      <w:pPr>
        <w:pStyle w:val="4"/>
        <w:numPr>
          <w:ilvl w:val="0"/>
          <w:numId w:val="4"/>
        </w:numPr>
        <w:spacing w:before="0" w:after="0" w:line="360" w:lineRule="auto"/>
        <w:rPr>
          <w:rFonts w:ascii="仿宋" w:hAnsi="仿宋"/>
          <w:kern w:val="0"/>
          <w:szCs w:val="24"/>
        </w:rPr>
      </w:pPr>
      <w:bookmarkStart w:id="359" w:name="_Toc3896795"/>
      <w:r>
        <w:rPr>
          <w:rFonts w:hint="eastAsia" w:ascii="仿宋" w:hAnsi="仿宋"/>
          <w:kern w:val="0"/>
          <w:szCs w:val="24"/>
        </w:rPr>
        <w:t>风险管理策略</w:t>
      </w:r>
      <w:bookmarkEnd w:id="359"/>
    </w:p>
    <w:p>
      <w:pPr>
        <w:spacing w:line="360" w:lineRule="auto"/>
        <w:ind w:firstLine="420"/>
        <w:rPr>
          <w:rFonts w:ascii="仿宋" w:hAnsi="仿宋"/>
        </w:rPr>
      </w:pPr>
      <w:r>
        <w:rPr>
          <w:rFonts w:hint="eastAsia" w:ascii="仿宋" w:hAnsi="仿宋"/>
        </w:rPr>
        <w:t>依据</w:t>
      </w:r>
      <w:r>
        <w:rPr>
          <w:rFonts w:ascii="仿宋" w:hAnsi="仿宋"/>
        </w:rPr>
        <w:t>：</w:t>
      </w:r>
    </w:p>
    <w:p>
      <w:pPr>
        <w:spacing w:line="360" w:lineRule="auto"/>
        <w:ind w:firstLine="420"/>
        <w:rPr>
          <w:rFonts w:ascii="仿宋" w:hAnsi="仿宋"/>
        </w:rPr>
      </w:pPr>
      <w:r>
        <w:rPr>
          <w:rFonts w:hint="eastAsia" w:ascii="仿宋" w:hAnsi="仿宋"/>
        </w:rPr>
        <w:t>《法人金融机构洗钱和恐怖融资风险管理指引（试行）》（银反洗发【2018】19号）第二十六条 法人金融机构应当制定科学、清晰、可行的洗钱风险管理策略，完善相关制度和工作机制，合理配置、统筹安排人员、资金、系统等反洗钱资源，并定期评估其有效性。洗钱风险管理策略应当根据洗钱风险状况及市场变化及时进行调整。</w:t>
      </w:r>
    </w:p>
    <w:p>
      <w:pPr>
        <w:spacing w:line="360" w:lineRule="auto"/>
        <w:ind w:firstLine="420"/>
        <w:rPr>
          <w:rFonts w:ascii="仿宋" w:hAnsi="仿宋"/>
        </w:rPr>
      </w:pPr>
      <w:r>
        <w:rPr>
          <w:rFonts w:hint="eastAsia" w:ascii="仿宋" w:hAnsi="仿宋"/>
        </w:rPr>
        <w:t xml:space="preserve">第二十七条 法人金融机构应当在建设全面风险管理文化、制定全面风险管理策略、制定全面风险管理政策和程序时统筹考虑洗钱风险管理，将洗钱风险纳入全面风险管理体系。洗钱风险管理策略应当与其全面风险管理策略相适应。 </w:t>
      </w:r>
    </w:p>
    <w:p>
      <w:pPr>
        <w:spacing w:line="360" w:lineRule="auto"/>
        <w:ind w:firstLine="420"/>
        <w:rPr>
          <w:rFonts w:ascii="仿宋" w:hAnsi="仿宋"/>
        </w:rPr>
      </w:pPr>
      <w:r>
        <w:rPr>
          <w:rFonts w:hint="eastAsia" w:ascii="仿宋" w:hAnsi="仿宋"/>
        </w:rPr>
        <w:t>第二十八条 法人金融机构应当按照风险为本方法制定洗钱风险管理策略，在识别和评估洗钱风险的基础上，针对风险较低的情形，采取简化的风险控制措施；针对风险较高的情形，采取强化的风险控制措施；超出机构风险控制能力的，不得与客户建立业务关系或进行交易，已经建立业务关系的，应当中止交易并考虑提交可疑交易报告，必要时终止业务关系。</w:t>
      </w:r>
    </w:p>
    <w:p>
      <w:pPr>
        <w:pStyle w:val="3"/>
        <w:rPr>
          <w:sz w:val="24"/>
          <w:szCs w:val="24"/>
        </w:rPr>
      </w:pPr>
      <w:bookmarkStart w:id="360" w:name="_Toc3896796"/>
      <w:r>
        <w:rPr>
          <w:rFonts w:hint="eastAsia"/>
          <w:sz w:val="24"/>
          <w:szCs w:val="24"/>
        </w:rPr>
        <w:t>八、关于风险监管指标</w:t>
      </w:r>
      <w:bookmarkEnd w:id="334"/>
      <w:bookmarkEnd w:id="335"/>
      <w:bookmarkEnd w:id="336"/>
      <w:bookmarkEnd w:id="360"/>
    </w:p>
    <w:p>
      <w:pPr>
        <w:spacing w:line="360" w:lineRule="auto"/>
        <w:ind w:firstLine="480" w:firstLineChars="200"/>
        <w:rPr>
          <w:rFonts w:ascii="仿宋" w:hAnsi="仿宋"/>
        </w:rPr>
      </w:pPr>
      <w:r>
        <w:rPr>
          <w:rFonts w:hint="eastAsia" w:ascii="仿宋" w:hAnsi="仿宋"/>
        </w:rPr>
        <w:t>掌握净资本概念的定义，掌握风险资本准备的定义，掌握风险监管指标应充分计提资产减值准备，掌握风险监管指标持续达标及相应保证措施，掌握风险监管指标应当持续达标的标准，掌握风险监管指标持续预警标准，掌握风险监管指标编制及报送要求，掌握净资本计算表、风险资本准备计算表和风险监管报表签字人员和相关责任，掌握期货公司应报告风险控制指标的具体规定，掌握期货公司分支机构风险资本准备的标准。</w:t>
      </w:r>
    </w:p>
    <w:p>
      <w:pPr>
        <w:pStyle w:val="4"/>
        <w:spacing w:before="0" w:after="0" w:line="360" w:lineRule="auto"/>
        <w:rPr>
          <w:szCs w:val="24"/>
        </w:rPr>
      </w:pPr>
      <w:bookmarkStart w:id="361" w:name="_Toc400553999"/>
      <w:bookmarkStart w:id="362" w:name="_Toc410115178"/>
      <w:bookmarkStart w:id="363" w:name="_Toc3896797"/>
      <w:r>
        <w:rPr>
          <w:rFonts w:hint="eastAsia" w:ascii="仿宋" w:hAnsi="仿宋"/>
          <w:kern w:val="0"/>
          <w:szCs w:val="24"/>
        </w:rPr>
        <w:t>（一）</w:t>
      </w:r>
      <w:r>
        <w:rPr>
          <w:rFonts w:hint="eastAsia"/>
          <w:szCs w:val="24"/>
        </w:rPr>
        <w:t>净资本概念</w:t>
      </w:r>
      <w:bookmarkEnd w:id="361"/>
      <w:bookmarkEnd w:id="362"/>
      <w:bookmarkEnd w:id="363"/>
    </w:p>
    <w:p>
      <w:pPr>
        <w:spacing w:line="360" w:lineRule="auto"/>
        <w:ind w:firstLine="480" w:firstLineChars="200"/>
        <w:rPr>
          <w:rFonts w:ascii="仿宋" w:hAnsi="仿宋" w:cs="Arial"/>
          <w:kern w:val="0"/>
        </w:rPr>
      </w:pPr>
      <w:r>
        <w:rPr>
          <w:rFonts w:hint="eastAsia" w:ascii="仿宋" w:hAnsi="仿宋" w:cs="宋体"/>
          <w:kern w:val="0"/>
        </w:rPr>
        <w:t>依据：《期货公司风险监管指标管理办法》</w:t>
      </w:r>
      <w:r>
        <w:rPr>
          <w:rFonts w:hint="eastAsia" w:ascii="仿宋" w:hAnsi="仿宋" w:cs="宋体"/>
        </w:rPr>
        <w:t>第十条</w:t>
      </w:r>
      <w:r>
        <w:rPr>
          <w:rFonts w:ascii="仿宋" w:hAnsi="仿宋" w:cs="宋体"/>
        </w:rPr>
        <w:t xml:space="preserve"> </w:t>
      </w:r>
      <w:r>
        <w:rPr>
          <w:rFonts w:hint="eastAsia" w:ascii="仿宋" w:hAnsi="仿宋" w:cs="宋体"/>
        </w:rPr>
        <w:t>期货公司净资本是在净资产基础上，按照变现能力对资产负债项目及其他项目进行风险调整后得出的综合性风险监管指标。</w:t>
      </w:r>
    </w:p>
    <w:p>
      <w:pPr>
        <w:spacing w:line="360" w:lineRule="auto"/>
        <w:ind w:firstLine="480" w:firstLineChars="200"/>
        <w:rPr>
          <w:rFonts w:ascii="仿宋" w:hAnsi="仿宋" w:cs="Arial"/>
          <w:kern w:val="0"/>
        </w:rPr>
      </w:pPr>
    </w:p>
    <w:p>
      <w:pPr>
        <w:pStyle w:val="4"/>
        <w:spacing w:before="0" w:after="0" w:line="360" w:lineRule="auto"/>
        <w:rPr>
          <w:rFonts w:cs="宋体"/>
          <w:kern w:val="0"/>
          <w:szCs w:val="24"/>
        </w:rPr>
      </w:pPr>
      <w:bookmarkStart w:id="364" w:name="_Toc400554000"/>
      <w:bookmarkStart w:id="365" w:name="_Toc410115179"/>
      <w:bookmarkStart w:id="366" w:name="_Toc3896798"/>
      <w:r>
        <w:rPr>
          <w:rFonts w:hint="eastAsia" w:ascii="仿宋" w:hAnsi="仿宋"/>
          <w:kern w:val="0"/>
          <w:szCs w:val="24"/>
        </w:rPr>
        <w:t>（二）</w:t>
      </w:r>
      <w:r>
        <w:rPr>
          <w:rFonts w:hint="eastAsia"/>
          <w:szCs w:val="24"/>
        </w:rPr>
        <w:t>风险资本准备概念</w:t>
      </w:r>
      <w:bookmarkEnd w:id="364"/>
      <w:bookmarkEnd w:id="365"/>
      <w:r>
        <w:rPr>
          <w:rFonts w:hint="eastAsia"/>
          <w:szCs w:val="24"/>
        </w:rPr>
        <w:t>及最低限额结算准备金</w:t>
      </w:r>
      <w:bookmarkEnd w:id="366"/>
    </w:p>
    <w:p>
      <w:pPr>
        <w:widowControl/>
        <w:spacing w:before="100" w:beforeAutospacing="1" w:after="100" w:afterAutospacing="1"/>
        <w:ind w:firstLine="480" w:firstLineChars="200"/>
        <w:jc w:val="left"/>
        <w:rPr>
          <w:rFonts w:ascii="仿宋" w:hAnsi="仿宋" w:cs="宋体"/>
          <w:kern w:val="0"/>
        </w:rPr>
      </w:pPr>
      <w:r>
        <w:rPr>
          <w:rFonts w:hint="eastAsia" w:ascii="仿宋" w:hAnsi="仿宋" w:cs="宋体"/>
          <w:kern w:val="0"/>
        </w:rPr>
        <w:t>依据：《期货公司风险监管指标管理办法》</w:t>
      </w:r>
    </w:p>
    <w:p>
      <w:pPr>
        <w:widowControl/>
        <w:spacing w:before="100" w:beforeAutospacing="1" w:after="100" w:afterAutospacing="1"/>
        <w:ind w:firstLine="480" w:firstLineChars="200"/>
        <w:jc w:val="left"/>
        <w:rPr>
          <w:rFonts w:ascii="仿宋" w:hAnsi="仿宋" w:cs="宋体"/>
          <w:kern w:val="0"/>
        </w:rPr>
      </w:pPr>
      <w:r>
        <w:rPr>
          <w:rFonts w:hint="eastAsia" w:ascii="仿宋" w:hAnsi="仿宋" w:cs="宋体"/>
          <w:kern w:val="0"/>
        </w:rPr>
        <w:t>第十一条</w:t>
      </w:r>
      <w:r>
        <w:rPr>
          <w:rFonts w:ascii="仿宋" w:hAnsi="仿宋" w:cs="宋体"/>
          <w:kern w:val="0"/>
        </w:rPr>
        <w:t xml:space="preserve"> </w:t>
      </w:r>
      <w:r>
        <w:rPr>
          <w:rFonts w:hint="eastAsia" w:ascii="仿宋" w:hAnsi="仿宋" w:cs="宋体"/>
          <w:kern w:val="0"/>
        </w:rPr>
        <w:t>期货公司风险资本准备是指期货公司在开展各项业务过程中，为应对可能发生的风险损失所需要的资本。</w:t>
      </w:r>
      <w:r>
        <w:rPr>
          <w:rFonts w:ascii="仿宋" w:hAnsi="仿宋" w:cs="宋体"/>
          <w:kern w:val="0"/>
        </w:rPr>
        <w:t xml:space="preserve"> </w:t>
      </w:r>
    </w:p>
    <w:p>
      <w:pPr>
        <w:widowControl/>
        <w:spacing w:before="100" w:beforeAutospacing="1" w:after="100" w:afterAutospacing="1"/>
        <w:ind w:firstLine="480" w:firstLineChars="200"/>
        <w:jc w:val="left"/>
        <w:rPr>
          <w:rFonts w:ascii="仿宋" w:hAnsi="仿宋" w:cs="宋体"/>
          <w:kern w:val="0"/>
        </w:rPr>
      </w:pPr>
      <w:r>
        <w:rPr>
          <w:rFonts w:hint="eastAsia" w:ascii="仿宋" w:hAnsi="仿宋" w:cs="宋体"/>
          <w:kern w:val="0"/>
        </w:rPr>
        <w:t>第十二条</w:t>
      </w:r>
      <w:r>
        <w:rPr>
          <w:rFonts w:ascii="仿宋" w:hAnsi="仿宋" w:cs="宋体"/>
          <w:kern w:val="0"/>
        </w:rPr>
        <w:t xml:space="preserve"> </w:t>
      </w:r>
      <w:r>
        <w:rPr>
          <w:rFonts w:hint="eastAsia" w:ascii="仿宋" w:hAnsi="仿宋" w:cs="宋体"/>
          <w:kern w:val="0"/>
        </w:rPr>
        <w:t>最低限额结算准备金是指期货公司按照交易所及登记结算机构的有关要求以自有资金缴存用于履约担保的最低金额。</w:t>
      </w:r>
    </w:p>
    <w:p>
      <w:pPr>
        <w:widowControl/>
        <w:spacing w:before="100" w:beforeAutospacing="1" w:after="100" w:afterAutospacing="1"/>
        <w:ind w:firstLine="480"/>
        <w:jc w:val="left"/>
        <w:rPr>
          <w:rFonts w:ascii="仿宋" w:cs="宋体"/>
          <w:kern w:val="0"/>
        </w:rPr>
      </w:pPr>
      <w:bookmarkStart w:id="367" w:name="_Toc400554001"/>
      <w:bookmarkStart w:id="368" w:name="_Toc410115180"/>
      <w:r>
        <w:rPr>
          <w:rFonts w:hint="eastAsia" w:ascii="仿宋" w:hAnsi="仿宋" w:cs="宋体"/>
          <w:kern w:val="0"/>
        </w:rPr>
        <w:t>第九条</w:t>
      </w:r>
      <w:r>
        <w:rPr>
          <w:rFonts w:ascii="仿宋" w:hAnsi="仿宋" w:cs="宋体"/>
          <w:kern w:val="0"/>
        </w:rPr>
        <w:t xml:space="preserve"> </w:t>
      </w:r>
      <w:r>
        <w:rPr>
          <w:rFonts w:hint="eastAsia" w:ascii="仿宋" w:hAnsi="仿宋" w:cs="宋体"/>
          <w:kern w:val="0"/>
        </w:rPr>
        <w:t>中国证监会对风险监管指标设置预警标准。规定“不得低于”一定标准的风险监管指标，其预警标准是规定标准的</w:t>
      </w:r>
      <w:r>
        <w:rPr>
          <w:rFonts w:ascii="仿宋" w:hAnsi="仿宋" w:cs="宋体"/>
          <w:kern w:val="0"/>
        </w:rPr>
        <w:t xml:space="preserve"> 120%</w:t>
      </w:r>
      <w:r>
        <w:rPr>
          <w:rFonts w:hint="eastAsia" w:ascii="仿宋" w:hAnsi="仿宋" w:cs="宋体"/>
          <w:kern w:val="0"/>
        </w:rPr>
        <w:t>，规定“不得高于”一定标准的风险监管指标，其预警标准是规定标准的</w:t>
      </w:r>
      <w:r>
        <w:rPr>
          <w:rFonts w:ascii="仿宋" w:hAnsi="仿宋" w:cs="宋体"/>
          <w:kern w:val="0"/>
        </w:rPr>
        <w:t xml:space="preserve"> 80%</w:t>
      </w:r>
      <w:r>
        <w:rPr>
          <w:rFonts w:hint="eastAsia" w:ascii="仿宋" w:hAnsi="仿宋" w:cs="宋体"/>
          <w:kern w:val="0"/>
        </w:rPr>
        <w:t>。</w:t>
      </w:r>
      <w:r>
        <w:rPr>
          <w:rFonts w:ascii="仿宋" w:hAnsi="仿宋" w:cs="宋体"/>
          <w:kern w:val="0"/>
        </w:rPr>
        <w:t xml:space="preserve"> </w:t>
      </w:r>
    </w:p>
    <w:p>
      <w:pPr>
        <w:widowControl/>
        <w:spacing w:before="100" w:beforeAutospacing="1" w:after="100" w:afterAutospacing="1"/>
        <w:ind w:firstLine="480"/>
        <w:jc w:val="left"/>
        <w:rPr>
          <w:rFonts w:ascii="仿宋" w:cs="宋体"/>
          <w:kern w:val="0"/>
        </w:rPr>
      </w:pPr>
      <w:r>
        <w:rPr>
          <w:rFonts w:hint="eastAsia" w:ascii="仿宋" w:hAnsi="仿宋" w:cs="宋体"/>
          <w:kern w:val="0"/>
        </w:rPr>
        <w:t>最低限额结算准备金不设预警标准</w:t>
      </w:r>
    </w:p>
    <w:p>
      <w:pPr>
        <w:pStyle w:val="21"/>
        <w:ind w:firstLine="480"/>
        <w:rPr>
          <w:rFonts w:ascii="仿宋" w:cs="宋体"/>
          <w:szCs w:val="24"/>
        </w:rPr>
      </w:pPr>
      <w:r>
        <w:rPr>
          <w:rFonts w:hint="eastAsia" w:ascii="仿宋" w:hAnsi="仿宋" w:cs="宋体"/>
          <w:szCs w:val="24"/>
        </w:rPr>
        <w:t>第十三条</w:t>
      </w:r>
      <w:r>
        <w:rPr>
          <w:rFonts w:ascii="仿宋" w:hAnsi="仿宋" w:cs="宋体"/>
          <w:szCs w:val="24"/>
        </w:rPr>
        <w:t xml:space="preserve"> </w:t>
      </w:r>
      <w:r>
        <w:rPr>
          <w:rFonts w:hint="eastAsia" w:ascii="仿宋" w:hAnsi="仿宋" w:cs="宋体"/>
          <w:szCs w:val="24"/>
        </w:rPr>
        <w:t>期货公司计算净资本时，应当按照企业会计准则的规定充分计提资产减值准备、确认预计负债。</w:t>
      </w:r>
      <w:r>
        <w:rPr>
          <w:rFonts w:ascii="仿宋" w:hAnsi="仿宋" w:cs="宋体"/>
          <w:szCs w:val="24"/>
        </w:rPr>
        <w:t xml:space="preserve"> </w:t>
      </w:r>
    </w:p>
    <w:p>
      <w:pPr>
        <w:widowControl/>
        <w:spacing w:before="100" w:beforeAutospacing="1" w:after="100" w:afterAutospacing="1"/>
        <w:ind w:firstLine="480"/>
        <w:jc w:val="left"/>
        <w:rPr>
          <w:rFonts w:ascii="仿宋" w:cs="宋体"/>
          <w:kern w:val="0"/>
        </w:rPr>
      </w:pPr>
      <w:r>
        <w:rPr>
          <w:rFonts w:hint="eastAsia" w:ascii="仿宋" w:hAnsi="仿宋" w:cs="宋体"/>
          <w:kern w:val="0"/>
        </w:rPr>
        <w:t>中国证监会派出机构可以要求期货公司对资产减值准备计提的充足性和合理性、预计负债确认的完整性进行专项说明，并要求期货公司聘请具有证券、期货业务资格的会计师事务所出具鉴证意见；有证据表明期货公司未能充分计提资产减值准备或未能准确确认预计负债的，中国证监会派出机构应当要求期货公司相应核减净资本金额。</w:t>
      </w:r>
      <w:r>
        <w:rPr>
          <w:rFonts w:ascii="仿宋" w:hAnsi="仿宋" w:cs="宋体"/>
          <w:kern w:val="0"/>
        </w:rPr>
        <w:t xml:space="preserve"> </w:t>
      </w:r>
    </w:p>
    <w:p>
      <w:pPr>
        <w:widowControl/>
        <w:spacing w:before="100" w:beforeAutospacing="1" w:after="100" w:afterAutospacing="1"/>
        <w:ind w:firstLine="480"/>
        <w:jc w:val="left"/>
        <w:rPr>
          <w:rFonts w:ascii="仿宋" w:cs="宋体"/>
          <w:kern w:val="0"/>
        </w:rPr>
      </w:pPr>
      <w:r>
        <w:rPr>
          <w:rFonts w:hint="eastAsia" w:ascii="仿宋" w:hAnsi="仿宋" w:cs="宋体"/>
          <w:kern w:val="0"/>
        </w:rPr>
        <w:t>第十五条</w:t>
      </w:r>
      <w:r>
        <w:rPr>
          <w:rFonts w:ascii="仿宋" w:hAnsi="仿宋" w:cs="宋体"/>
          <w:kern w:val="0"/>
        </w:rPr>
        <w:t xml:space="preserve"> </w:t>
      </w:r>
      <w:r>
        <w:rPr>
          <w:rFonts w:hint="eastAsia" w:ascii="仿宋" w:hAnsi="仿宋" w:cs="宋体"/>
          <w:kern w:val="0"/>
        </w:rPr>
        <w:t>期货公司借入次级债务、向股东或者其关联企业借入具有次级债务性质的长期借款以及其他清偿顺序在普通债之后的债务，可以按照规定计入净资本。</w:t>
      </w:r>
      <w:r>
        <w:rPr>
          <w:rFonts w:ascii="仿宋" w:hAnsi="仿宋" w:cs="宋体"/>
          <w:kern w:val="0"/>
        </w:rPr>
        <w:t xml:space="preserve"> </w:t>
      </w:r>
    </w:p>
    <w:p>
      <w:pPr>
        <w:widowControl/>
        <w:spacing w:before="100" w:beforeAutospacing="1" w:after="100" w:afterAutospacing="1"/>
        <w:ind w:firstLine="480"/>
        <w:jc w:val="left"/>
        <w:rPr>
          <w:rFonts w:ascii="仿宋" w:cs="宋体"/>
          <w:kern w:val="0"/>
        </w:rPr>
      </w:pPr>
      <w:r>
        <w:rPr>
          <w:rFonts w:hint="eastAsia" w:ascii="仿宋" w:hAnsi="仿宋" w:cs="宋体"/>
          <w:kern w:val="0"/>
        </w:rPr>
        <w:t>期货公司应当在相关事项完成后</w:t>
      </w:r>
      <w:r>
        <w:rPr>
          <w:rFonts w:ascii="仿宋" w:hAnsi="仿宋" w:cs="宋体"/>
          <w:kern w:val="0"/>
        </w:rPr>
        <w:t xml:space="preserve"> 5 </w:t>
      </w:r>
      <w:r>
        <w:rPr>
          <w:rFonts w:hint="eastAsia" w:ascii="仿宋" w:hAnsi="仿宋" w:cs="宋体"/>
          <w:kern w:val="0"/>
        </w:rPr>
        <w:t>个工作日内向住所地中国证监会派出机构报告。</w:t>
      </w:r>
      <w:r>
        <w:rPr>
          <w:rFonts w:ascii="仿宋" w:hAnsi="仿宋" w:cs="宋体"/>
          <w:kern w:val="0"/>
        </w:rPr>
        <w:t xml:space="preserve"> </w:t>
      </w:r>
    </w:p>
    <w:p>
      <w:pPr>
        <w:widowControl/>
        <w:spacing w:before="100" w:beforeAutospacing="1" w:after="100" w:afterAutospacing="1"/>
        <w:ind w:firstLine="480"/>
        <w:jc w:val="left"/>
        <w:rPr>
          <w:rFonts w:ascii="仿宋" w:cs="宋体"/>
          <w:kern w:val="0"/>
        </w:rPr>
      </w:pPr>
      <w:r>
        <w:rPr>
          <w:rFonts w:hint="eastAsia" w:ascii="仿宋" w:hAnsi="仿宋" w:cs="宋体"/>
          <w:kern w:val="0"/>
        </w:rPr>
        <w:t>期货公司不得互相持有次级债务。</w:t>
      </w:r>
      <w:r>
        <w:rPr>
          <w:rFonts w:ascii="仿宋" w:hAnsi="仿宋" w:cs="宋体"/>
          <w:kern w:val="0"/>
        </w:rPr>
        <w:t xml:space="preserve"> </w:t>
      </w:r>
    </w:p>
    <w:p>
      <w:pPr>
        <w:widowControl/>
        <w:shd w:val="clear" w:color="auto" w:fill="FFFFFF"/>
        <w:spacing w:line="360" w:lineRule="auto"/>
        <w:ind w:firstLine="480" w:firstLineChars="200"/>
        <w:jc w:val="left"/>
        <w:rPr>
          <w:rFonts w:ascii="仿宋" w:cs="Arial"/>
          <w:kern w:val="0"/>
        </w:rPr>
      </w:pPr>
    </w:p>
    <w:p>
      <w:pPr>
        <w:pStyle w:val="4"/>
        <w:spacing w:before="0" w:after="0" w:line="360" w:lineRule="auto"/>
        <w:rPr>
          <w:szCs w:val="24"/>
        </w:rPr>
      </w:pPr>
      <w:bookmarkStart w:id="369" w:name="_Toc3896799"/>
      <w:bookmarkStart w:id="370" w:name="_Toc410310444"/>
      <w:r>
        <w:rPr>
          <w:rFonts w:hint="eastAsia" w:ascii="仿宋" w:hAnsi="仿宋"/>
          <w:kern w:val="0"/>
          <w:szCs w:val="24"/>
        </w:rPr>
        <w:t>（三）</w:t>
      </w:r>
      <w:r>
        <w:rPr>
          <w:rFonts w:hint="eastAsia"/>
          <w:szCs w:val="24"/>
        </w:rPr>
        <w:t>风险监管指标的编制及披露</w:t>
      </w:r>
      <w:bookmarkEnd w:id="369"/>
      <w:bookmarkEnd w:id="370"/>
    </w:p>
    <w:p>
      <w:pPr>
        <w:widowControl/>
        <w:shd w:val="clear" w:color="auto" w:fill="FFFFFF"/>
        <w:spacing w:line="360" w:lineRule="auto"/>
        <w:ind w:firstLine="480" w:firstLineChars="200"/>
        <w:jc w:val="left"/>
        <w:rPr>
          <w:rFonts w:ascii="仿宋" w:cs="宋体"/>
          <w:kern w:val="0"/>
        </w:rPr>
      </w:pPr>
      <w:r>
        <w:rPr>
          <w:rFonts w:hint="eastAsia" w:ascii="仿宋" w:hAnsi="仿宋" w:cs="宋体"/>
          <w:kern w:val="0"/>
        </w:rPr>
        <w:t>依据：《期货公司风险监管指标管理办法》</w:t>
      </w:r>
    </w:p>
    <w:p>
      <w:pPr>
        <w:widowControl/>
        <w:shd w:val="clear" w:color="auto" w:fill="FFFFFF"/>
        <w:spacing w:line="360" w:lineRule="auto"/>
        <w:ind w:firstLine="480" w:firstLineChars="200"/>
        <w:jc w:val="left"/>
        <w:rPr>
          <w:rFonts w:ascii="仿宋" w:cs="宋体"/>
          <w:kern w:val="0"/>
        </w:rPr>
      </w:pPr>
      <w:r>
        <w:rPr>
          <w:rFonts w:hint="eastAsia" w:ascii="仿宋" w:hAnsi="仿宋" w:cs="宋体"/>
          <w:kern w:val="0"/>
        </w:rPr>
        <w:t>第二十条</w:t>
      </w:r>
      <w:r>
        <w:rPr>
          <w:rFonts w:ascii="仿宋" w:hAnsi="仿宋" w:cs="宋体"/>
          <w:kern w:val="0"/>
        </w:rPr>
        <w:t xml:space="preserve"> </w:t>
      </w:r>
      <w:r>
        <w:rPr>
          <w:rFonts w:hint="eastAsia" w:ascii="仿宋" w:hAnsi="仿宋" w:cs="宋体"/>
          <w:kern w:val="0"/>
        </w:rPr>
        <w:t>期货公司应当每半年向公司董事会提交书面报告，说明各项风险监管指标的具体情况，该报告应当经期货公司法定代表人签字确认。该报告经董事会审议通过后，应当向期货公司全体股东提交或进行信息披露。</w:t>
      </w:r>
      <w:r>
        <w:rPr>
          <w:rFonts w:ascii="仿宋" w:hAnsi="仿宋" w:cs="宋体"/>
          <w:kern w:val="0"/>
        </w:rPr>
        <w:t xml:space="preserve"> </w:t>
      </w:r>
    </w:p>
    <w:p>
      <w:pPr>
        <w:widowControl/>
        <w:spacing w:before="100" w:beforeAutospacing="1" w:after="100" w:afterAutospacing="1"/>
        <w:ind w:firstLine="480"/>
        <w:jc w:val="left"/>
        <w:rPr>
          <w:rFonts w:ascii="仿宋" w:cs="宋体"/>
          <w:kern w:val="0"/>
        </w:rPr>
      </w:pPr>
      <w:r>
        <w:rPr>
          <w:rFonts w:hint="eastAsia" w:ascii="仿宋" w:hAnsi="仿宋" w:cs="宋体"/>
          <w:kern w:val="0"/>
        </w:rPr>
        <w:t>第二十一条</w:t>
      </w:r>
      <w:r>
        <w:rPr>
          <w:rFonts w:ascii="仿宋" w:hAnsi="仿宋" w:cs="宋体"/>
          <w:kern w:val="0"/>
        </w:rPr>
        <w:t xml:space="preserve"> </w:t>
      </w:r>
      <w:r>
        <w:rPr>
          <w:rFonts w:hint="eastAsia" w:ascii="仿宋" w:hAnsi="仿宋" w:cs="宋体"/>
          <w:kern w:val="0"/>
        </w:rPr>
        <w:t>净资本与风险资本准备的比例与上月相比向不利方向变动超过</w:t>
      </w:r>
      <w:r>
        <w:rPr>
          <w:rFonts w:ascii="仿宋" w:hAnsi="仿宋" w:cs="宋体"/>
          <w:kern w:val="0"/>
        </w:rPr>
        <w:t xml:space="preserve"> 20%</w:t>
      </w:r>
      <w:r>
        <w:rPr>
          <w:rFonts w:hint="eastAsia" w:ascii="仿宋" w:hAnsi="仿宋" w:cs="宋体"/>
          <w:kern w:val="0"/>
        </w:rPr>
        <w:t>的，期货公司应当向公司住所地中国证监会派出机构提交书面报告，说明原因，并在</w:t>
      </w:r>
      <w:r>
        <w:rPr>
          <w:rFonts w:ascii="仿宋" w:hAnsi="仿宋" w:cs="宋体"/>
          <w:kern w:val="0"/>
        </w:rPr>
        <w:t xml:space="preserve"> 5 </w:t>
      </w:r>
      <w:r>
        <w:rPr>
          <w:rFonts w:hint="eastAsia" w:ascii="仿宋" w:hAnsi="仿宋" w:cs="宋体"/>
          <w:kern w:val="0"/>
        </w:rPr>
        <w:t>个工作日内向全体董事提交书面报告。</w:t>
      </w:r>
      <w:r>
        <w:rPr>
          <w:rFonts w:ascii="仿宋" w:hAnsi="仿宋" w:cs="宋体"/>
          <w:kern w:val="0"/>
        </w:rPr>
        <w:t xml:space="preserve"> </w:t>
      </w:r>
    </w:p>
    <w:p>
      <w:pPr>
        <w:widowControl/>
        <w:spacing w:before="100" w:beforeAutospacing="1" w:after="100" w:afterAutospacing="1"/>
        <w:ind w:firstLine="480"/>
        <w:jc w:val="left"/>
        <w:rPr>
          <w:rFonts w:ascii="仿宋" w:cs="宋体"/>
          <w:kern w:val="0"/>
        </w:rPr>
      </w:pPr>
      <w:r>
        <w:rPr>
          <w:rFonts w:hint="eastAsia" w:ascii="仿宋" w:hAnsi="仿宋" w:cs="宋体"/>
          <w:kern w:val="0"/>
        </w:rPr>
        <w:t>第二十二条</w:t>
      </w:r>
      <w:r>
        <w:rPr>
          <w:rFonts w:ascii="仿宋" w:hAnsi="仿宋" w:cs="宋体"/>
          <w:kern w:val="0"/>
        </w:rPr>
        <w:t xml:space="preserve"> </w:t>
      </w:r>
      <w:r>
        <w:rPr>
          <w:rFonts w:hint="eastAsia" w:ascii="仿宋" w:hAnsi="仿宋" w:cs="宋体"/>
          <w:kern w:val="0"/>
        </w:rPr>
        <w:t>期货公司风险监管指标达到预警标准的，期货公司应当于当日向全体董事提交书面报告，详细说明原因、对期货公司的影响、解决问题的具体措施和期限，书面报告应当同时抄送期货公司住所地中国证监会派出机构。</w:t>
      </w:r>
      <w:r>
        <w:rPr>
          <w:rFonts w:ascii="仿宋" w:hAnsi="仿宋" w:cs="宋体"/>
          <w:kern w:val="0"/>
        </w:rPr>
        <w:t xml:space="preserve"> </w:t>
      </w:r>
    </w:p>
    <w:p>
      <w:pPr>
        <w:widowControl/>
        <w:spacing w:before="100" w:beforeAutospacing="1" w:after="100" w:afterAutospacing="1"/>
        <w:ind w:firstLine="480"/>
        <w:jc w:val="left"/>
        <w:rPr>
          <w:rFonts w:ascii="仿宋" w:cs="宋体"/>
          <w:kern w:val="0"/>
        </w:rPr>
      </w:pPr>
      <w:r>
        <w:rPr>
          <w:rFonts w:hint="eastAsia" w:ascii="仿宋" w:hAnsi="仿宋" w:cs="宋体"/>
          <w:kern w:val="0"/>
        </w:rPr>
        <w:t>期货公司风险监管指标不符合规定标准的，期货公司除履行上述程序外，还应当及时向全体股东报告或进行信息披露。</w:t>
      </w:r>
      <w:r>
        <w:rPr>
          <w:rFonts w:ascii="仿宋" w:hAnsi="仿宋" w:cs="宋体"/>
          <w:kern w:val="0"/>
        </w:rPr>
        <w:t xml:space="preserve"> </w:t>
      </w:r>
    </w:p>
    <w:p>
      <w:pPr>
        <w:pStyle w:val="4"/>
        <w:spacing w:before="0" w:after="0" w:line="360" w:lineRule="auto"/>
        <w:rPr>
          <w:szCs w:val="24"/>
        </w:rPr>
      </w:pPr>
      <w:bookmarkStart w:id="371" w:name="_Toc410310446"/>
      <w:bookmarkStart w:id="372" w:name="_Toc3896800"/>
      <w:r>
        <w:rPr>
          <w:rFonts w:hint="eastAsia" w:ascii="仿宋" w:hAnsi="仿宋"/>
          <w:kern w:val="0"/>
          <w:szCs w:val="24"/>
        </w:rPr>
        <w:t>（四）</w:t>
      </w:r>
      <w:r>
        <w:rPr>
          <w:rFonts w:hint="eastAsia"/>
          <w:szCs w:val="24"/>
        </w:rPr>
        <w:t>期货公司风险资本准备标准</w:t>
      </w:r>
      <w:bookmarkEnd w:id="371"/>
      <w:bookmarkEnd w:id="372"/>
    </w:p>
    <w:p>
      <w:pPr>
        <w:widowControl/>
        <w:shd w:val="clear" w:color="auto" w:fill="FFFFFF"/>
        <w:spacing w:line="360" w:lineRule="auto"/>
        <w:ind w:firstLine="480" w:firstLineChars="200"/>
        <w:jc w:val="left"/>
        <w:rPr>
          <w:rFonts w:ascii="仿宋" w:hAnsi="仿宋" w:cs="Arial"/>
          <w:kern w:val="0"/>
        </w:rPr>
      </w:pPr>
      <w:r>
        <w:rPr>
          <w:rFonts w:hint="eastAsia" w:ascii="仿宋" w:hAnsi="仿宋" w:cs="宋体"/>
          <w:kern w:val="0"/>
        </w:rPr>
        <w:t>依据：《关于期货公司风险资本准备计算标准的规定》</w:t>
      </w:r>
      <w:r>
        <w:rPr>
          <w:rFonts w:hint="eastAsia" w:ascii="仿宋" w:hAnsi="仿宋" w:cs="Arial"/>
          <w:kern w:val="0"/>
        </w:rPr>
        <w:t>第二条</w:t>
      </w:r>
      <w:r>
        <w:rPr>
          <w:rFonts w:ascii="仿宋" w:hAnsi="仿宋"/>
        </w:rPr>
        <w:t xml:space="preserve"> </w:t>
      </w:r>
      <w:r>
        <w:rPr>
          <w:rFonts w:hint="eastAsia" w:ascii="仿宋" w:hAnsi="仿宋"/>
        </w:rPr>
        <w:t>期货公司设立营业部等分支机构的，应当按每一家</w:t>
      </w:r>
      <w:r>
        <w:rPr>
          <w:rFonts w:ascii="仿宋" w:hAnsi="仿宋"/>
        </w:rPr>
        <w:t>300</w:t>
      </w:r>
      <w:r>
        <w:rPr>
          <w:rFonts w:hint="eastAsia" w:ascii="仿宋" w:hAnsi="仿宋"/>
        </w:rPr>
        <w:t>万元的标准计算分支机构风险资本准备。总部承担对外营业职能的，按营业部标准计算风险资本准备。</w:t>
      </w:r>
      <w:bookmarkEnd w:id="367"/>
      <w:bookmarkEnd w:id="368"/>
      <w:r>
        <w:rPr>
          <w:rFonts w:ascii="仿宋" w:hAnsi="仿宋"/>
        </w:rPr>
        <w:br w:type="textWrapping"/>
      </w:r>
    </w:p>
    <w:p>
      <w:pPr>
        <w:pStyle w:val="3"/>
        <w:rPr>
          <w:sz w:val="24"/>
          <w:szCs w:val="24"/>
        </w:rPr>
      </w:pPr>
      <w:bookmarkStart w:id="373" w:name="_Toc399750567"/>
      <w:bookmarkStart w:id="374" w:name="_Toc400554005"/>
      <w:bookmarkStart w:id="375" w:name="_Toc410115184"/>
      <w:bookmarkStart w:id="376" w:name="_Toc3896801"/>
      <w:r>
        <w:rPr>
          <w:rFonts w:hint="eastAsia"/>
          <w:sz w:val="24"/>
          <w:szCs w:val="24"/>
        </w:rPr>
        <w:t>九、关于交易所风险控制</w:t>
      </w:r>
      <w:bookmarkEnd w:id="373"/>
      <w:r>
        <w:rPr>
          <w:rFonts w:hint="eastAsia"/>
          <w:sz w:val="24"/>
          <w:szCs w:val="24"/>
        </w:rPr>
        <w:t>制度</w:t>
      </w:r>
      <w:bookmarkEnd w:id="374"/>
      <w:bookmarkEnd w:id="375"/>
      <w:bookmarkEnd w:id="376"/>
    </w:p>
    <w:p>
      <w:pPr>
        <w:widowControl/>
        <w:spacing w:line="360" w:lineRule="auto"/>
        <w:ind w:firstLine="480" w:firstLineChars="200"/>
        <w:contextualSpacing/>
        <w:rPr>
          <w:rFonts w:ascii="仿宋" w:hAnsi="仿宋"/>
          <w:kern w:val="0"/>
        </w:rPr>
      </w:pPr>
      <w:r>
        <w:rPr>
          <w:rFonts w:hint="eastAsia" w:ascii="仿宋" w:hAnsi="仿宋"/>
          <w:kern w:val="0"/>
        </w:rPr>
        <w:t>掌握涨跌停板制度的概念及执行幅度调整的前提条件、单边市的概念、大户报告制度的概念、执行强行平仓的前提条件、强行平仓制度的概念、风险警示制度的概念、执行风险警示制度的前提条件、限仓制度的概念。</w:t>
      </w:r>
    </w:p>
    <w:p>
      <w:pPr>
        <w:pStyle w:val="4"/>
        <w:spacing w:before="0" w:after="0" w:line="360" w:lineRule="auto"/>
        <w:rPr>
          <w:rFonts w:cs="宋体"/>
          <w:kern w:val="0"/>
          <w:szCs w:val="24"/>
        </w:rPr>
      </w:pPr>
      <w:bookmarkStart w:id="377" w:name="_Toc400554006"/>
      <w:bookmarkStart w:id="378" w:name="_Toc410115185"/>
      <w:bookmarkStart w:id="379" w:name="_Toc3896802"/>
      <w:r>
        <w:rPr>
          <w:rFonts w:hint="eastAsia" w:ascii="仿宋" w:hAnsi="仿宋"/>
          <w:kern w:val="0"/>
          <w:szCs w:val="24"/>
        </w:rPr>
        <w:t>（一）</w:t>
      </w:r>
      <w:r>
        <w:rPr>
          <w:rFonts w:hint="eastAsia"/>
          <w:szCs w:val="24"/>
        </w:rPr>
        <w:t>涨跌停板制度</w:t>
      </w:r>
      <w:bookmarkEnd w:id="377"/>
      <w:bookmarkEnd w:id="378"/>
      <w:bookmarkEnd w:id="379"/>
    </w:p>
    <w:p>
      <w:pPr>
        <w:widowControl/>
        <w:spacing w:line="360" w:lineRule="auto"/>
        <w:ind w:firstLine="480" w:firstLineChars="200"/>
        <w:contextualSpacing/>
        <w:rPr>
          <w:rFonts w:ascii="仿宋" w:hAnsi="仿宋"/>
          <w:b/>
          <w:kern w:val="0"/>
        </w:rPr>
      </w:pPr>
      <w:r>
        <w:rPr>
          <w:rFonts w:hint="eastAsia" w:ascii="仿宋" w:hAnsi="仿宋"/>
          <w:kern w:val="0"/>
        </w:rPr>
        <w:t>依据：</w:t>
      </w:r>
      <w:r>
        <w:rPr>
          <w:rFonts w:hint="eastAsia" w:ascii="仿宋" w:hAnsi="仿宋"/>
          <w:b/>
          <w:kern w:val="0"/>
        </w:rPr>
        <w:t xml:space="preserve"> </w:t>
      </w:r>
    </w:p>
    <w:p>
      <w:pPr>
        <w:widowControl/>
        <w:spacing w:line="360" w:lineRule="auto"/>
        <w:ind w:firstLine="480" w:firstLineChars="200"/>
        <w:contextualSpacing/>
        <w:rPr>
          <w:rFonts w:ascii="仿宋" w:hAnsi="仿宋"/>
          <w:kern w:val="0"/>
        </w:rPr>
      </w:pPr>
      <w:r>
        <w:rPr>
          <w:rFonts w:hint="eastAsia" w:ascii="仿宋" w:hAnsi="仿宋"/>
          <w:kern w:val="0"/>
        </w:rPr>
        <w:t>《上海期货交易所风险控制管理办法》第九条</w:t>
      </w:r>
      <w:r>
        <w:rPr>
          <w:rFonts w:ascii="仿宋" w:hAnsi="仿宋"/>
          <w:kern w:val="0"/>
        </w:rPr>
        <w:t xml:space="preserve"> </w:t>
      </w:r>
      <w:r>
        <w:rPr>
          <w:rFonts w:hint="eastAsia" w:ascii="仿宋" w:hAnsi="仿宋"/>
          <w:kern w:val="0"/>
        </w:rPr>
        <w:t>交易所实行价格涨跌停板制度，由交易所制定各上市期货合约的每日最大价格波动幅度。</w:t>
      </w:r>
    </w:p>
    <w:p>
      <w:pPr>
        <w:widowControl/>
        <w:spacing w:line="360" w:lineRule="auto"/>
        <w:ind w:firstLine="480" w:firstLineChars="200"/>
        <w:contextualSpacing/>
        <w:rPr>
          <w:rFonts w:ascii="仿宋" w:hAnsi="仿宋"/>
          <w:kern w:val="0"/>
        </w:rPr>
      </w:pPr>
      <w:r>
        <w:rPr>
          <w:rFonts w:hint="eastAsia" w:ascii="仿宋" w:hAnsi="仿宋"/>
          <w:kern w:val="0"/>
        </w:rPr>
        <w:t>在某一期货合约的交易过程中，当出现下列情况时，交易所可以根据市场风险调整其涨跌停板幅度</w:t>
      </w:r>
      <w:r>
        <w:rPr>
          <w:rFonts w:ascii="仿宋" w:hAnsi="仿宋"/>
          <w:kern w:val="0"/>
        </w:rPr>
        <w:t>:</w:t>
      </w:r>
    </w:p>
    <w:p>
      <w:pPr>
        <w:spacing w:line="360" w:lineRule="auto"/>
        <w:ind w:firstLine="480" w:firstLineChars="200"/>
        <w:rPr>
          <w:rFonts w:ascii="仿宋" w:hAnsi="仿宋"/>
          <w:kern w:val="0"/>
        </w:rPr>
      </w:pPr>
      <w:r>
        <w:rPr>
          <w:rFonts w:hint="eastAsia" w:ascii="仿宋" w:hAnsi="仿宋"/>
          <w:kern w:val="0"/>
        </w:rPr>
        <w:t>（一）期货合约价格出现同方向连续涨跌停板时；</w:t>
      </w:r>
    </w:p>
    <w:p>
      <w:pPr>
        <w:autoSpaceDE w:val="0"/>
        <w:autoSpaceDN w:val="0"/>
        <w:adjustRightInd w:val="0"/>
        <w:snapToGrid w:val="0"/>
        <w:spacing w:line="360" w:lineRule="auto"/>
        <w:ind w:firstLine="480" w:firstLineChars="200"/>
        <w:rPr>
          <w:rFonts w:ascii="仿宋" w:hAnsi="仿宋"/>
          <w:kern w:val="0"/>
        </w:rPr>
      </w:pPr>
      <w:r>
        <w:rPr>
          <w:rFonts w:hint="eastAsia" w:ascii="仿宋" w:hAnsi="仿宋"/>
          <w:kern w:val="0"/>
        </w:rPr>
        <w:t>（二）遇国家法定长假时；</w:t>
      </w:r>
    </w:p>
    <w:p>
      <w:pPr>
        <w:autoSpaceDE w:val="0"/>
        <w:autoSpaceDN w:val="0"/>
        <w:adjustRightInd w:val="0"/>
        <w:snapToGrid w:val="0"/>
        <w:spacing w:line="360" w:lineRule="auto"/>
        <w:ind w:firstLine="480" w:firstLineChars="200"/>
        <w:rPr>
          <w:rFonts w:ascii="仿宋" w:hAnsi="仿宋"/>
          <w:kern w:val="0"/>
        </w:rPr>
      </w:pPr>
      <w:r>
        <w:rPr>
          <w:rFonts w:hint="eastAsia" w:ascii="仿宋" w:hAnsi="仿宋"/>
          <w:kern w:val="0"/>
        </w:rPr>
        <w:t>（三）交易所认为市场风险明显变化时；</w:t>
      </w:r>
    </w:p>
    <w:p>
      <w:pPr>
        <w:autoSpaceDE w:val="0"/>
        <w:autoSpaceDN w:val="0"/>
        <w:adjustRightInd w:val="0"/>
        <w:snapToGrid w:val="0"/>
        <w:spacing w:line="360" w:lineRule="auto"/>
        <w:ind w:firstLine="480" w:firstLineChars="200"/>
        <w:rPr>
          <w:rFonts w:ascii="仿宋" w:hAnsi="仿宋"/>
          <w:kern w:val="0"/>
        </w:rPr>
      </w:pPr>
      <w:r>
        <w:rPr>
          <w:rFonts w:hint="eastAsia" w:ascii="仿宋" w:hAnsi="仿宋"/>
          <w:kern w:val="0"/>
        </w:rPr>
        <w:t>（四）交易所认为必要的其他情况。</w:t>
      </w:r>
    </w:p>
    <w:p>
      <w:pPr>
        <w:autoSpaceDE w:val="0"/>
        <w:autoSpaceDN w:val="0"/>
        <w:adjustRightInd w:val="0"/>
        <w:snapToGrid w:val="0"/>
        <w:spacing w:line="360" w:lineRule="auto"/>
        <w:ind w:firstLine="480" w:firstLineChars="200"/>
        <w:rPr>
          <w:rFonts w:ascii="仿宋" w:hAnsi="仿宋"/>
          <w:kern w:val="0"/>
        </w:rPr>
      </w:pPr>
      <w:r>
        <w:rPr>
          <w:rFonts w:hint="eastAsia" w:ascii="仿宋" w:hAnsi="仿宋"/>
          <w:kern w:val="0"/>
        </w:rPr>
        <w:t>交易所根据市场情况决定调整涨跌停板幅度的，应当公告，并报告中国证监会。</w:t>
      </w:r>
    </w:p>
    <w:p>
      <w:pPr>
        <w:autoSpaceDE w:val="0"/>
        <w:autoSpaceDN w:val="0"/>
        <w:adjustRightInd w:val="0"/>
        <w:snapToGrid w:val="0"/>
        <w:spacing w:line="360" w:lineRule="auto"/>
        <w:ind w:firstLine="480" w:firstLineChars="200"/>
        <w:rPr>
          <w:rFonts w:ascii="仿宋" w:hAnsi="仿宋" w:cs="宋体"/>
          <w:b/>
        </w:rPr>
      </w:pPr>
      <w:r>
        <w:rPr>
          <w:rFonts w:hint="eastAsia" w:ascii="仿宋" w:hAnsi="仿宋"/>
          <w:kern w:val="0"/>
        </w:rPr>
        <w:t>对同时适用本办法规定的两种或两种以上涨跌停板的，其涨跌停板按照规定涨跌停板中的最高值确定。</w:t>
      </w:r>
    </w:p>
    <w:p>
      <w:pPr>
        <w:spacing w:line="360" w:lineRule="auto"/>
        <w:ind w:firstLine="480" w:firstLineChars="200"/>
        <w:rPr>
          <w:rFonts w:ascii="仿宋" w:hAnsi="仿宋"/>
        </w:rPr>
      </w:pPr>
      <w:r>
        <w:rPr>
          <w:rFonts w:hint="eastAsia" w:ascii="仿宋" w:hAnsi="仿宋" w:cs="宋体"/>
        </w:rPr>
        <w:t>《上海期货交易所风险控制管理办法》</w:t>
      </w:r>
      <w:r>
        <w:rPr>
          <w:rFonts w:hint="eastAsia" w:ascii="仿宋" w:hAnsi="仿宋"/>
        </w:rPr>
        <w:t>第十一条</w:t>
      </w:r>
      <w:r>
        <w:rPr>
          <w:rFonts w:ascii="仿宋" w:hAnsi="仿宋"/>
        </w:rPr>
        <w:t xml:space="preserve"> </w:t>
      </w:r>
      <w:r>
        <w:rPr>
          <w:rFonts w:hint="eastAsia" w:ascii="仿宋" w:hAnsi="仿宋"/>
        </w:rPr>
        <w:t>涨（跌）停板单边无连续报价（以下简称单边市）是指某一期货合约在某一交易日收盘前</w:t>
      </w:r>
      <w:r>
        <w:rPr>
          <w:rFonts w:ascii="仿宋" w:hAnsi="仿宋"/>
        </w:rPr>
        <w:t>5</w:t>
      </w:r>
      <w:r>
        <w:rPr>
          <w:rFonts w:hint="eastAsia" w:ascii="仿宋" w:hAnsi="仿宋"/>
        </w:rPr>
        <w:t>分钟内出现只有停板价位的买入（卖出）申报、没有停板价位的卖出（买入）申报，或者一有卖出（买入）申报就成交、但未打开停板价位的情况。连续的两个交易日出现同一方向的涨（跌）停板单边无连续报价情况，称为同方向单边市；在出现单边市之后的下一个交易日出现反方向的涨（跌）停板单边无连续报价情况，则称为反方向单边市。</w:t>
      </w:r>
    </w:p>
    <w:p>
      <w:pPr>
        <w:spacing w:line="360" w:lineRule="auto"/>
        <w:ind w:firstLine="480" w:firstLineChars="200"/>
        <w:rPr>
          <w:rFonts w:ascii="仿宋" w:hAnsi="仿宋"/>
          <w:kern w:val="0"/>
        </w:rPr>
      </w:pPr>
    </w:p>
    <w:p>
      <w:pPr>
        <w:pStyle w:val="4"/>
        <w:spacing w:before="0" w:after="0" w:line="360" w:lineRule="auto"/>
        <w:rPr>
          <w:rFonts w:cs="宋体"/>
          <w:kern w:val="0"/>
          <w:szCs w:val="24"/>
        </w:rPr>
      </w:pPr>
      <w:bookmarkStart w:id="380" w:name="_Toc400554007"/>
      <w:bookmarkStart w:id="381" w:name="_Toc410115186"/>
      <w:bookmarkStart w:id="382" w:name="_Toc3896803"/>
      <w:r>
        <w:rPr>
          <w:rFonts w:hint="eastAsia" w:ascii="仿宋" w:hAnsi="仿宋"/>
          <w:kern w:val="0"/>
          <w:szCs w:val="24"/>
        </w:rPr>
        <w:t>（二）</w:t>
      </w:r>
      <w:r>
        <w:rPr>
          <w:rFonts w:hint="eastAsia"/>
          <w:szCs w:val="24"/>
        </w:rPr>
        <w:t>大户报告制度</w:t>
      </w:r>
      <w:bookmarkEnd w:id="380"/>
      <w:bookmarkEnd w:id="381"/>
      <w:bookmarkEnd w:id="382"/>
    </w:p>
    <w:p>
      <w:pPr>
        <w:spacing w:line="360" w:lineRule="auto"/>
        <w:ind w:firstLine="480" w:firstLineChars="200"/>
        <w:rPr>
          <w:rFonts w:ascii="仿宋" w:hAnsi="仿宋" w:cs="宋体"/>
          <w:b/>
        </w:rPr>
      </w:pPr>
      <w:r>
        <w:rPr>
          <w:rFonts w:hint="eastAsia" w:ascii="仿宋" w:hAnsi="仿宋" w:cs="宋体"/>
        </w:rPr>
        <w:t>依据：</w:t>
      </w:r>
      <w:r>
        <w:rPr>
          <w:rFonts w:hint="eastAsia" w:ascii="仿宋" w:hAnsi="仿宋" w:cs="宋体"/>
          <w:b/>
        </w:rPr>
        <w:t xml:space="preserve"> </w:t>
      </w:r>
    </w:p>
    <w:p>
      <w:pPr>
        <w:spacing w:line="360" w:lineRule="auto"/>
        <w:ind w:firstLine="480" w:firstLineChars="200"/>
        <w:rPr>
          <w:rFonts w:ascii="仿宋" w:hAnsi="仿宋"/>
        </w:rPr>
      </w:pPr>
      <w:r>
        <w:rPr>
          <w:rFonts w:hint="eastAsia" w:ascii="仿宋" w:hAnsi="仿宋" w:cs="宋体"/>
        </w:rPr>
        <w:t>《上海期货交易所风险控制管理办法》</w:t>
      </w:r>
      <w:r>
        <w:rPr>
          <w:rFonts w:hint="eastAsia" w:ascii="仿宋" w:hAnsi="仿宋"/>
        </w:rPr>
        <w:t>第二十五条</w:t>
      </w:r>
      <w:r>
        <w:rPr>
          <w:rFonts w:ascii="仿宋" w:hAnsi="仿宋"/>
        </w:rPr>
        <w:t xml:space="preserve"> </w:t>
      </w:r>
      <w:r>
        <w:rPr>
          <w:rFonts w:hint="eastAsia" w:ascii="仿宋" w:hAnsi="仿宋"/>
        </w:rPr>
        <w:t>交易所实行大户报告制度。当会员或者客户某品种持仓合约的投机头寸达到交易所对其规定的投机头寸持仓限额</w:t>
      </w:r>
      <w:r>
        <w:rPr>
          <w:rFonts w:ascii="仿宋" w:hAnsi="仿宋"/>
        </w:rPr>
        <w:t>80%</w:t>
      </w:r>
      <w:r>
        <w:rPr>
          <w:rFonts w:hint="eastAsia" w:ascii="仿宋" w:hAnsi="仿宋"/>
        </w:rPr>
        <w:t>以上（含本数）时，会员或客户应当向交易所报告其资金情况、头寸情况，客户应当通过期货公司会员报告。交易所可以根据市场风险状况，制定并调整持仓报告标准。</w:t>
      </w:r>
    </w:p>
    <w:p>
      <w:pPr>
        <w:spacing w:line="360" w:lineRule="auto"/>
        <w:ind w:firstLine="480" w:firstLineChars="200"/>
        <w:rPr>
          <w:rFonts w:ascii="仿宋" w:hAnsi="仿宋"/>
        </w:rPr>
      </w:pPr>
    </w:p>
    <w:p>
      <w:pPr>
        <w:pStyle w:val="4"/>
        <w:spacing w:before="0" w:after="0" w:line="360" w:lineRule="auto"/>
        <w:rPr>
          <w:rFonts w:cs="宋体"/>
          <w:kern w:val="0"/>
          <w:szCs w:val="24"/>
        </w:rPr>
      </w:pPr>
      <w:bookmarkStart w:id="383" w:name="_Toc400554008"/>
      <w:bookmarkStart w:id="384" w:name="_Toc410115187"/>
      <w:bookmarkStart w:id="385" w:name="_Toc3896804"/>
      <w:r>
        <w:rPr>
          <w:rFonts w:hint="eastAsia" w:ascii="仿宋" w:hAnsi="仿宋"/>
          <w:kern w:val="0"/>
          <w:szCs w:val="24"/>
        </w:rPr>
        <w:t>（三）</w:t>
      </w:r>
      <w:r>
        <w:rPr>
          <w:rFonts w:hint="eastAsia"/>
          <w:szCs w:val="24"/>
        </w:rPr>
        <w:t>强行平仓制度</w:t>
      </w:r>
      <w:bookmarkEnd w:id="383"/>
      <w:bookmarkEnd w:id="384"/>
      <w:bookmarkEnd w:id="385"/>
    </w:p>
    <w:p>
      <w:pPr>
        <w:spacing w:line="360" w:lineRule="auto"/>
        <w:ind w:firstLine="480" w:firstLineChars="200"/>
        <w:rPr>
          <w:rFonts w:ascii="仿宋" w:hAnsi="仿宋" w:cs="宋体"/>
          <w:b/>
        </w:rPr>
      </w:pPr>
      <w:r>
        <w:rPr>
          <w:rFonts w:hint="eastAsia" w:ascii="仿宋" w:hAnsi="仿宋" w:cs="宋体"/>
        </w:rPr>
        <w:t>依据：</w:t>
      </w:r>
      <w:r>
        <w:rPr>
          <w:rFonts w:hint="eastAsia" w:ascii="仿宋" w:hAnsi="仿宋" w:cs="宋体"/>
          <w:b/>
        </w:rPr>
        <w:t xml:space="preserve"> </w:t>
      </w:r>
    </w:p>
    <w:p>
      <w:pPr>
        <w:spacing w:line="360" w:lineRule="auto"/>
        <w:ind w:firstLine="480" w:firstLineChars="200"/>
        <w:rPr>
          <w:rFonts w:ascii="仿宋" w:hAnsi="仿宋"/>
        </w:rPr>
      </w:pPr>
      <w:r>
        <w:rPr>
          <w:rFonts w:hint="eastAsia" w:ascii="仿宋" w:hAnsi="仿宋" w:cs="宋体"/>
        </w:rPr>
        <w:t>《上海期货交易所风险控制管理办法》</w:t>
      </w:r>
      <w:r>
        <w:rPr>
          <w:rFonts w:hint="eastAsia" w:ascii="仿宋" w:hAnsi="仿宋"/>
        </w:rPr>
        <w:t>第三十三条</w:t>
      </w:r>
      <w:r>
        <w:rPr>
          <w:rFonts w:ascii="仿宋" w:hAnsi="仿宋"/>
        </w:rPr>
        <w:t xml:space="preserve"> </w:t>
      </w:r>
      <w:r>
        <w:rPr>
          <w:rFonts w:hint="eastAsia" w:ascii="仿宋" w:hAnsi="仿宋"/>
        </w:rPr>
        <w:t>为控制市场风险，交易所实行强行平仓制度。强行平仓是指当会员、客户违规时，交易所对其有关持仓实行平仓的一种强制措施。</w:t>
      </w:r>
    </w:p>
    <w:p>
      <w:pPr>
        <w:spacing w:line="360" w:lineRule="auto"/>
        <w:ind w:firstLine="480" w:firstLineChars="200"/>
        <w:rPr>
          <w:rFonts w:ascii="仿宋" w:hAnsi="仿宋"/>
        </w:rPr>
      </w:pPr>
      <w:r>
        <w:rPr>
          <w:rFonts w:hint="eastAsia" w:ascii="仿宋" w:hAnsi="仿宋" w:cs="宋体"/>
        </w:rPr>
        <w:t>《上海期货交易所风险控制管理办法》</w:t>
      </w:r>
      <w:r>
        <w:rPr>
          <w:rFonts w:hint="eastAsia" w:ascii="仿宋" w:hAnsi="仿宋"/>
        </w:rPr>
        <w:t>第三十四条</w:t>
      </w:r>
      <w:r>
        <w:rPr>
          <w:rFonts w:ascii="仿宋" w:hAnsi="仿宋"/>
        </w:rPr>
        <w:t xml:space="preserve"> </w:t>
      </w:r>
      <w:r>
        <w:rPr>
          <w:rFonts w:hint="eastAsia" w:ascii="仿宋" w:hAnsi="仿宋"/>
        </w:rPr>
        <w:t>当会员、客户出现下列情况之一时，交易所对其持仓实行强行平仓：</w:t>
      </w:r>
    </w:p>
    <w:p>
      <w:pPr>
        <w:pStyle w:val="42"/>
        <w:snapToGrid w:val="0"/>
        <w:spacing w:line="360" w:lineRule="auto"/>
        <w:ind w:firstLine="480" w:firstLineChars="200"/>
        <w:jc w:val="both"/>
        <w:rPr>
          <w:rFonts w:ascii="仿宋" w:hAnsi="仿宋" w:eastAsia="仿宋" w:cs="Times New Roman"/>
        </w:rPr>
      </w:pPr>
      <w:r>
        <w:rPr>
          <w:rFonts w:hint="eastAsia" w:ascii="仿宋" w:hAnsi="仿宋" w:eastAsia="仿宋" w:cs="Times New Roman"/>
        </w:rPr>
        <w:t>（一）会员结算准备金余额小于零，并未能在规定时限内补足的；</w:t>
      </w:r>
    </w:p>
    <w:p>
      <w:pPr>
        <w:pStyle w:val="42"/>
        <w:snapToGrid w:val="0"/>
        <w:spacing w:line="360" w:lineRule="auto"/>
        <w:ind w:firstLine="480" w:firstLineChars="200"/>
        <w:jc w:val="both"/>
        <w:rPr>
          <w:rFonts w:ascii="仿宋" w:hAnsi="仿宋" w:eastAsia="仿宋" w:cs="Times New Roman"/>
        </w:rPr>
      </w:pPr>
      <w:r>
        <w:rPr>
          <w:rFonts w:hint="eastAsia" w:ascii="仿宋" w:hAnsi="仿宋" w:eastAsia="仿宋" w:cs="Times New Roman"/>
        </w:rPr>
        <w:t>（二）持仓量超出其限仓规定的；</w:t>
      </w:r>
    </w:p>
    <w:p>
      <w:pPr>
        <w:pStyle w:val="42"/>
        <w:snapToGrid w:val="0"/>
        <w:spacing w:line="360" w:lineRule="auto"/>
        <w:ind w:firstLine="480" w:firstLineChars="200"/>
        <w:jc w:val="both"/>
        <w:rPr>
          <w:rFonts w:ascii="仿宋" w:hAnsi="仿宋" w:eastAsia="仿宋" w:cs="Times New Roman"/>
        </w:rPr>
      </w:pPr>
      <w:r>
        <w:rPr>
          <w:rFonts w:hint="eastAsia" w:ascii="仿宋" w:hAnsi="仿宋" w:eastAsia="仿宋" w:cs="Times New Roman"/>
        </w:rPr>
        <w:t>（三）相关品种持仓没有在规定时间内按要求调整为相应整倍数的；</w:t>
      </w:r>
    </w:p>
    <w:p>
      <w:pPr>
        <w:pStyle w:val="42"/>
        <w:snapToGrid w:val="0"/>
        <w:spacing w:line="360" w:lineRule="auto"/>
        <w:ind w:firstLine="480" w:firstLineChars="200"/>
        <w:jc w:val="both"/>
        <w:rPr>
          <w:rFonts w:ascii="仿宋" w:hAnsi="仿宋" w:eastAsia="仿宋" w:cs="Times New Roman"/>
        </w:rPr>
      </w:pPr>
      <w:r>
        <w:rPr>
          <w:rFonts w:hint="eastAsia" w:ascii="仿宋" w:hAnsi="仿宋" w:eastAsia="仿宋" w:cs="Times New Roman"/>
        </w:rPr>
        <w:t>（四）因违规受到交易所强行平仓处罚的；</w:t>
      </w:r>
    </w:p>
    <w:p>
      <w:pPr>
        <w:pStyle w:val="42"/>
        <w:snapToGrid w:val="0"/>
        <w:spacing w:line="360" w:lineRule="auto"/>
        <w:ind w:firstLine="480" w:firstLineChars="200"/>
        <w:jc w:val="both"/>
        <w:rPr>
          <w:rFonts w:ascii="仿宋" w:hAnsi="仿宋" w:eastAsia="仿宋" w:cs="Times New Roman"/>
        </w:rPr>
      </w:pPr>
      <w:r>
        <w:rPr>
          <w:rFonts w:hint="eastAsia" w:ascii="仿宋" w:hAnsi="仿宋" w:eastAsia="仿宋" w:cs="Times New Roman"/>
        </w:rPr>
        <w:t>（五）根据交易所的紧急措施应当予以强行平仓的；</w:t>
      </w:r>
    </w:p>
    <w:p>
      <w:pPr>
        <w:pStyle w:val="42"/>
        <w:snapToGrid w:val="0"/>
        <w:spacing w:line="360" w:lineRule="auto"/>
        <w:ind w:firstLine="480" w:firstLineChars="200"/>
        <w:jc w:val="both"/>
        <w:rPr>
          <w:rFonts w:ascii="仿宋" w:hAnsi="仿宋" w:eastAsia="仿宋" w:cs="Times New Roman"/>
        </w:rPr>
      </w:pPr>
      <w:r>
        <w:rPr>
          <w:rFonts w:hint="eastAsia" w:ascii="仿宋" w:hAnsi="仿宋" w:eastAsia="仿宋" w:cs="Times New Roman"/>
        </w:rPr>
        <w:t>（六）其他应当予以强行平仓的。</w:t>
      </w:r>
    </w:p>
    <w:p>
      <w:pPr>
        <w:pStyle w:val="42"/>
        <w:snapToGrid w:val="0"/>
        <w:spacing w:line="360" w:lineRule="auto"/>
        <w:ind w:firstLine="480" w:firstLineChars="200"/>
        <w:jc w:val="both"/>
        <w:rPr>
          <w:rFonts w:ascii="仿宋" w:hAnsi="仿宋" w:eastAsia="仿宋" w:cs="Times New Roman"/>
        </w:rPr>
      </w:pPr>
      <w:r>
        <w:rPr>
          <w:rFonts w:hint="eastAsia" w:ascii="仿宋" w:hAnsi="仿宋" w:eastAsia="仿宋" w:cs="宋体"/>
        </w:rPr>
        <w:t>《上海期货交易所风险控制管理办法》</w:t>
      </w:r>
      <w:r>
        <w:rPr>
          <w:rFonts w:hint="eastAsia" w:ascii="仿宋" w:hAnsi="仿宋" w:eastAsia="仿宋" w:cs="Times New Roman"/>
        </w:rPr>
        <w:t>第四十一条</w:t>
      </w:r>
      <w:r>
        <w:rPr>
          <w:rFonts w:ascii="仿宋" w:hAnsi="仿宋" w:eastAsia="仿宋" w:cs="Times New Roman"/>
        </w:rPr>
        <w:t xml:space="preserve"> </w:t>
      </w:r>
      <w:r>
        <w:rPr>
          <w:rFonts w:hint="eastAsia" w:ascii="仿宋" w:hAnsi="仿宋" w:eastAsia="仿宋" w:cs="Times New Roman"/>
        </w:rPr>
        <w:t>由会员单位执行的强行平仓产生的盈利仍归直接责任人；由交易所执行的强行平仓产生的盈利按国家有关规定执行；因强行平仓发生的亏损由直接责任人承担。</w:t>
      </w:r>
    </w:p>
    <w:p>
      <w:pPr>
        <w:pStyle w:val="42"/>
        <w:snapToGrid w:val="0"/>
        <w:spacing w:line="360" w:lineRule="auto"/>
        <w:ind w:firstLine="480" w:firstLineChars="200"/>
        <w:jc w:val="both"/>
        <w:rPr>
          <w:rFonts w:ascii="仿宋" w:hAnsi="仿宋" w:eastAsia="仿宋" w:cs="Times New Roman"/>
        </w:rPr>
      </w:pPr>
      <w:r>
        <w:rPr>
          <w:rFonts w:hint="eastAsia" w:ascii="仿宋" w:hAnsi="仿宋" w:eastAsia="仿宋" w:cs="Times New Roman"/>
        </w:rPr>
        <w:t>直接责任人是客户的，强行平仓后发生的亏损，由该客户开户所在期货公司会员先行承担后，自行向该客户追索。</w:t>
      </w:r>
    </w:p>
    <w:p>
      <w:pPr>
        <w:spacing w:line="360" w:lineRule="auto"/>
        <w:ind w:firstLine="480" w:firstLineChars="200"/>
        <w:rPr>
          <w:rFonts w:ascii="仿宋" w:hAnsi="仿宋"/>
        </w:rPr>
      </w:pPr>
    </w:p>
    <w:p>
      <w:pPr>
        <w:pStyle w:val="4"/>
        <w:spacing w:before="0" w:after="0" w:line="360" w:lineRule="auto"/>
        <w:rPr>
          <w:rFonts w:cs="宋体"/>
          <w:kern w:val="0"/>
          <w:szCs w:val="24"/>
        </w:rPr>
      </w:pPr>
      <w:bookmarkStart w:id="386" w:name="_Toc400554009"/>
      <w:bookmarkStart w:id="387" w:name="_Toc410115188"/>
      <w:bookmarkStart w:id="388" w:name="_Toc3896805"/>
      <w:r>
        <w:rPr>
          <w:rFonts w:hint="eastAsia" w:ascii="仿宋" w:hAnsi="仿宋"/>
          <w:kern w:val="0"/>
          <w:szCs w:val="24"/>
        </w:rPr>
        <w:t>（四）</w:t>
      </w:r>
      <w:r>
        <w:rPr>
          <w:rFonts w:hint="eastAsia"/>
          <w:szCs w:val="24"/>
        </w:rPr>
        <w:t>风险警示制度</w:t>
      </w:r>
      <w:bookmarkEnd w:id="386"/>
      <w:bookmarkEnd w:id="387"/>
      <w:bookmarkEnd w:id="388"/>
    </w:p>
    <w:p>
      <w:pPr>
        <w:spacing w:line="360" w:lineRule="auto"/>
        <w:ind w:firstLine="480" w:firstLineChars="200"/>
        <w:rPr>
          <w:rFonts w:ascii="仿宋" w:hAnsi="仿宋" w:cs="宋体"/>
          <w:b/>
        </w:rPr>
      </w:pPr>
      <w:r>
        <w:rPr>
          <w:rFonts w:hint="eastAsia" w:ascii="仿宋" w:hAnsi="仿宋" w:cs="宋体"/>
        </w:rPr>
        <w:t>依据：</w:t>
      </w:r>
      <w:r>
        <w:rPr>
          <w:rFonts w:hint="eastAsia" w:ascii="仿宋" w:hAnsi="仿宋" w:cs="宋体"/>
          <w:b/>
        </w:rPr>
        <w:t xml:space="preserve"> </w:t>
      </w:r>
    </w:p>
    <w:p>
      <w:pPr>
        <w:spacing w:line="360" w:lineRule="auto"/>
        <w:ind w:firstLine="480" w:firstLineChars="200"/>
        <w:rPr>
          <w:rFonts w:ascii="仿宋" w:hAnsi="仿宋"/>
        </w:rPr>
      </w:pPr>
      <w:r>
        <w:rPr>
          <w:rFonts w:hint="eastAsia" w:ascii="仿宋" w:hAnsi="仿宋" w:cs="宋体"/>
        </w:rPr>
        <w:t>《上海期货交易所风险控制管理办法》</w:t>
      </w:r>
      <w:r>
        <w:rPr>
          <w:rFonts w:hint="eastAsia" w:ascii="仿宋" w:hAnsi="仿宋"/>
        </w:rPr>
        <w:t>第四十二条</w:t>
      </w:r>
      <w:r>
        <w:rPr>
          <w:rFonts w:ascii="仿宋" w:hAnsi="仿宋"/>
        </w:rPr>
        <w:t xml:space="preserve"> </w:t>
      </w:r>
      <w:r>
        <w:rPr>
          <w:rFonts w:hint="eastAsia" w:ascii="仿宋" w:hAnsi="仿宋"/>
        </w:rPr>
        <w:t>交易所实行风险警示制度。当交易所认为必要时，可以分别或同时采取要求报告情况、谈话提醒、书面警示、公开谴责、发布风险警示公告等措施中的一种或多种，以警示和化解风险。</w:t>
      </w:r>
    </w:p>
    <w:p>
      <w:pPr>
        <w:spacing w:line="360" w:lineRule="auto"/>
        <w:ind w:firstLine="480" w:firstLineChars="200"/>
        <w:rPr>
          <w:rFonts w:ascii="仿宋" w:hAnsi="仿宋"/>
        </w:rPr>
      </w:pPr>
      <w:r>
        <w:rPr>
          <w:rFonts w:hint="eastAsia" w:ascii="仿宋" w:hAnsi="仿宋" w:cs="宋体"/>
        </w:rPr>
        <w:t>《上海期货交易所风险控制管理办法》</w:t>
      </w:r>
      <w:r>
        <w:rPr>
          <w:rFonts w:hint="eastAsia" w:ascii="仿宋" w:hAnsi="仿宋"/>
        </w:rPr>
        <w:t>第四十三条</w:t>
      </w:r>
      <w:r>
        <w:rPr>
          <w:rFonts w:ascii="仿宋" w:hAnsi="仿宋"/>
        </w:rPr>
        <w:t xml:space="preserve"> </w:t>
      </w:r>
      <w:r>
        <w:rPr>
          <w:rFonts w:hint="eastAsia" w:ascii="仿宋" w:hAnsi="仿宋"/>
        </w:rPr>
        <w:t>出现下列情形之一的，交易所可以约见指定的会员高管人员或客户谈话提醒风险，或要求会员或客户报告情况：</w:t>
      </w:r>
    </w:p>
    <w:p>
      <w:pPr>
        <w:pStyle w:val="42"/>
        <w:snapToGrid w:val="0"/>
        <w:spacing w:line="360" w:lineRule="auto"/>
        <w:ind w:firstLine="480" w:firstLineChars="200"/>
        <w:jc w:val="both"/>
        <w:rPr>
          <w:rFonts w:ascii="仿宋" w:hAnsi="仿宋" w:eastAsia="仿宋" w:cs="Times New Roman"/>
        </w:rPr>
      </w:pPr>
      <w:r>
        <w:rPr>
          <w:rFonts w:hint="eastAsia" w:ascii="仿宋" w:hAnsi="仿宋" w:eastAsia="仿宋" w:cs="Times New Roman"/>
        </w:rPr>
        <w:t>（一）期货价格出现异常；</w:t>
      </w:r>
    </w:p>
    <w:p>
      <w:pPr>
        <w:pStyle w:val="42"/>
        <w:snapToGrid w:val="0"/>
        <w:spacing w:line="360" w:lineRule="auto"/>
        <w:ind w:firstLine="480" w:firstLineChars="200"/>
        <w:jc w:val="both"/>
        <w:rPr>
          <w:rFonts w:ascii="仿宋" w:hAnsi="仿宋" w:eastAsia="仿宋" w:cs="Times New Roman"/>
        </w:rPr>
      </w:pPr>
      <w:r>
        <w:rPr>
          <w:rFonts w:hint="eastAsia" w:ascii="仿宋" w:hAnsi="仿宋" w:eastAsia="仿宋" w:cs="Times New Roman"/>
        </w:rPr>
        <w:t>（二）会员或客户交易异常；</w:t>
      </w:r>
    </w:p>
    <w:p>
      <w:pPr>
        <w:pStyle w:val="42"/>
        <w:snapToGrid w:val="0"/>
        <w:spacing w:line="360" w:lineRule="auto"/>
        <w:ind w:firstLine="480" w:firstLineChars="200"/>
        <w:jc w:val="both"/>
        <w:rPr>
          <w:rFonts w:ascii="仿宋" w:hAnsi="仿宋" w:eastAsia="仿宋" w:cs="Times New Roman"/>
        </w:rPr>
      </w:pPr>
      <w:r>
        <w:rPr>
          <w:rFonts w:hint="eastAsia" w:ascii="仿宋" w:hAnsi="仿宋" w:eastAsia="仿宋" w:cs="Times New Roman"/>
        </w:rPr>
        <w:t>（三）会员或客户持仓异常；</w:t>
      </w:r>
    </w:p>
    <w:p>
      <w:pPr>
        <w:pStyle w:val="42"/>
        <w:snapToGrid w:val="0"/>
        <w:spacing w:line="360" w:lineRule="auto"/>
        <w:ind w:firstLine="480" w:firstLineChars="200"/>
        <w:jc w:val="both"/>
        <w:rPr>
          <w:rFonts w:ascii="仿宋" w:hAnsi="仿宋" w:eastAsia="仿宋" w:cs="Times New Roman"/>
        </w:rPr>
      </w:pPr>
      <w:r>
        <w:rPr>
          <w:rFonts w:hint="eastAsia" w:ascii="仿宋" w:hAnsi="仿宋" w:eastAsia="仿宋" w:cs="Times New Roman"/>
        </w:rPr>
        <w:t>（四）会员资金异常；</w:t>
      </w:r>
    </w:p>
    <w:p>
      <w:pPr>
        <w:pStyle w:val="42"/>
        <w:snapToGrid w:val="0"/>
        <w:spacing w:line="360" w:lineRule="auto"/>
        <w:ind w:firstLine="480" w:firstLineChars="200"/>
        <w:jc w:val="both"/>
        <w:rPr>
          <w:rFonts w:ascii="仿宋" w:hAnsi="仿宋" w:eastAsia="仿宋" w:cs="Times New Roman"/>
        </w:rPr>
      </w:pPr>
      <w:r>
        <w:rPr>
          <w:rFonts w:hint="eastAsia" w:ascii="仿宋" w:hAnsi="仿宋" w:eastAsia="仿宋" w:cs="Times New Roman"/>
        </w:rPr>
        <w:t>（五）会员或客户涉嫌违规、违约；</w:t>
      </w:r>
    </w:p>
    <w:p>
      <w:pPr>
        <w:pStyle w:val="42"/>
        <w:snapToGrid w:val="0"/>
        <w:spacing w:line="360" w:lineRule="auto"/>
        <w:ind w:firstLine="480" w:firstLineChars="200"/>
        <w:jc w:val="both"/>
        <w:rPr>
          <w:rFonts w:ascii="仿宋" w:hAnsi="仿宋" w:eastAsia="仿宋" w:cs="Times New Roman"/>
        </w:rPr>
      </w:pPr>
      <w:r>
        <w:rPr>
          <w:rFonts w:hint="eastAsia" w:ascii="仿宋" w:hAnsi="仿宋" w:eastAsia="仿宋" w:cs="Times New Roman"/>
        </w:rPr>
        <w:t>（六）交易所接到投诉涉及到会员或客户；</w:t>
      </w:r>
    </w:p>
    <w:p>
      <w:pPr>
        <w:pStyle w:val="42"/>
        <w:snapToGrid w:val="0"/>
        <w:spacing w:line="360" w:lineRule="auto"/>
        <w:ind w:firstLine="480" w:firstLineChars="200"/>
        <w:jc w:val="both"/>
        <w:rPr>
          <w:rFonts w:ascii="仿宋" w:hAnsi="仿宋" w:eastAsia="仿宋" w:cs="Times New Roman"/>
        </w:rPr>
      </w:pPr>
      <w:r>
        <w:rPr>
          <w:rFonts w:hint="eastAsia" w:ascii="仿宋" w:hAnsi="仿宋" w:eastAsia="仿宋" w:cs="Times New Roman"/>
        </w:rPr>
        <w:t>（七）会员涉及司法调查；</w:t>
      </w:r>
    </w:p>
    <w:p>
      <w:pPr>
        <w:pStyle w:val="42"/>
        <w:snapToGrid w:val="0"/>
        <w:spacing w:line="360" w:lineRule="auto"/>
        <w:ind w:firstLine="480" w:firstLineChars="200"/>
        <w:jc w:val="both"/>
        <w:rPr>
          <w:rFonts w:ascii="仿宋" w:hAnsi="仿宋" w:eastAsia="仿宋" w:cs="Times New Roman"/>
        </w:rPr>
      </w:pPr>
      <w:r>
        <w:rPr>
          <w:rFonts w:hint="eastAsia" w:ascii="仿宋" w:hAnsi="仿宋" w:eastAsia="仿宋" w:cs="Times New Roman"/>
        </w:rPr>
        <w:t>（八）交易所认定的其他情况。</w:t>
      </w:r>
    </w:p>
    <w:p>
      <w:pPr>
        <w:spacing w:line="360" w:lineRule="auto"/>
        <w:ind w:firstLine="480" w:firstLineChars="200"/>
        <w:rPr>
          <w:rFonts w:ascii="仿宋" w:hAnsi="仿宋"/>
        </w:rPr>
      </w:pPr>
    </w:p>
    <w:p>
      <w:pPr>
        <w:pStyle w:val="4"/>
        <w:spacing w:before="0" w:after="0" w:line="360" w:lineRule="auto"/>
        <w:rPr>
          <w:rFonts w:cs="宋体"/>
          <w:kern w:val="0"/>
          <w:szCs w:val="24"/>
        </w:rPr>
      </w:pPr>
      <w:bookmarkStart w:id="389" w:name="_Toc400554010"/>
      <w:bookmarkStart w:id="390" w:name="_Toc410115189"/>
      <w:bookmarkStart w:id="391" w:name="_Toc3896806"/>
      <w:r>
        <w:rPr>
          <w:rFonts w:hint="eastAsia" w:ascii="仿宋" w:hAnsi="仿宋"/>
          <w:kern w:val="0"/>
          <w:szCs w:val="24"/>
        </w:rPr>
        <w:t>（五）</w:t>
      </w:r>
      <w:r>
        <w:rPr>
          <w:rFonts w:hint="eastAsia"/>
          <w:szCs w:val="24"/>
        </w:rPr>
        <w:t>限仓制度</w:t>
      </w:r>
      <w:bookmarkEnd w:id="389"/>
      <w:bookmarkEnd w:id="390"/>
      <w:bookmarkEnd w:id="391"/>
    </w:p>
    <w:p>
      <w:pPr>
        <w:spacing w:line="360" w:lineRule="auto"/>
        <w:ind w:firstLine="480" w:firstLineChars="200"/>
        <w:rPr>
          <w:rFonts w:ascii="仿宋" w:hAnsi="仿宋" w:cs="宋体"/>
          <w:b/>
        </w:rPr>
      </w:pPr>
      <w:r>
        <w:rPr>
          <w:rFonts w:hint="eastAsia" w:ascii="仿宋" w:hAnsi="仿宋" w:cs="宋体"/>
        </w:rPr>
        <w:t>依据：</w:t>
      </w:r>
      <w:r>
        <w:rPr>
          <w:rFonts w:hint="eastAsia" w:ascii="仿宋" w:hAnsi="仿宋" w:cs="宋体"/>
          <w:b/>
        </w:rPr>
        <w:t xml:space="preserve"> </w:t>
      </w:r>
    </w:p>
    <w:p>
      <w:pPr>
        <w:spacing w:line="360" w:lineRule="auto"/>
        <w:ind w:firstLine="480" w:firstLineChars="200"/>
        <w:rPr>
          <w:rFonts w:ascii="仿宋" w:hAnsi="仿宋"/>
        </w:rPr>
      </w:pPr>
      <w:r>
        <w:rPr>
          <w:rFonts w:hint="eastAsia" w:ascii="仿宋" w:hAnsi="仿宋" w:cs="宋体"/>
        </w:rPr>
        <w:t>《上海期货交易所风险控制管理办法》</w:t>
      </w:r>
      <w:r>
        <w:rPr>
          <w:rFonts w:hint="eastAsia" w:ascii="仿宋" w:hAnsi="仿宋"/>
        </w:rPr>
        <w:t>第十五条</w:t>
      </w:r>
      <w:r>
        <w:rPr>
          <w:rFonts w:ascii="仿宋" w:hAnsi="仿宋"/>
        </w:rPr>
        <w:t xml:space="preserve"> </w:t>
      </w:r>
      <w:r>
        <w:rPr>
          <w:rFonts w:hint="eastAsia" w:ascii="仿宋" w:hAnsi="仿宋"/>
        </w:rPr>
        <w:t>交易所实行投机头寸限仓制度。限仓是指交易所规定会员或客户可以持有的，按单边计算的某一合约投机头寸的最大数额。</w:t>
      </w:r>
    </w:p>
    <w:p>
      <w:pPr>
        <w:widowControl/>
        <w:spacing w:line="360" w:lineRule="auto"/>
        <w:ind w:firstLine="480" w:firstLineChars="200"/>
        <w:jc w:val="left"/>
        <w:rPr>
          <w:rFonts w:ascii="仿宋" w:hAnsi="仿宋"/>
        </w:rPr>
      </w:pPr>
    </w:p>
    <w:p>
      <w:pPr>
        <w:pStyle w:val="4"/>
        <w:spacing w:before="0" w:after="0" w:line="360" w:lineRule="auto"/>
        <w:rPr>
          <w:b w:val="0"/>
          <w:szCs w:val="24"/>
        </w:rPr>
      </w:pPr>
      <w:bookmarkStart w:id="392" w:name="_Toc400554011"/>
      <w:bookmarkStart w:id="393" w:name="_Toc410115190"/>
      <w:bookmarkStart w:id="394" w:name="_Toc3896807"/>
      <w:r>
        <w:rPr>
          <w:rFonts w:hint="eastAsia" w:ascii="仿宋" w:hAnsi="仿宋"/>
          <w:kern w:val="0"/>
          <w:szCs w:val="24"/>
        </w:rPr>
        <w:t>（六）</w:t>
      </w:r>
      <w:r>
        <w:rPr>
          <w:rFonts w:hint="eastAsia"/>
          <w:szCs w:val="24"/>
        </w:rPr>
        <w:t>当日无负债结算制度</w:t>
      </w:r>
      <w:bookmarkEnd w:id="392"/>
      <w:bookmarkEnd w:id="393"/>
      <w:bookmarkEnd w:id="394"/>
    </w:p>
    <w:p>
      <w:pPr>
        <w:widowControl/>
        <w:spacing w:line="360" w:lineRule="auto"/>
        <w:ind w:firstLine="480" w:firstLineChars="200"/>
        <w:jc w:val="left"/>
        <w:rPr>
          <w:rFonts w:ascii="仿宋" w:hAnsi="仿宋" w:cs="Arial"/>
          <w:kern w:val="0"/>
        </w:rPr>
      </w:pPr>
      <w:r>
        <w:rPr>
          <w:rFonts w:ascii="仿宋" w:hAnsi="仿宋" w:cs="Arial"/>
          <w:kern w:val="0"/>
        </w:rPr>
        <w:t>当日无负债结算制度，其原则是当日交易结束后，交易所按</w:t>
      </w:r>
      <w:r>
        <w:fldChar w:fldCharType="begin"/>
      </w:r>
      <w:r>
        <w:instrText xml:space="preserve"> HYPERLINK "http://baike.baidu.com/view/1545338.htm" \t "_blank" </w:instrText>
      </w:r>
      <w:r>
        <w:fldChar w:fldCharType="separate"/>
      </w:r>
      <w:r>
        <w:rPr>
          <w:rFonts w:ascii="仿宋" w:hAnsi="仿宋" w:cs="Arial"/>
          <w:kern w:val="0"/>
        </w:rPr>
        <w:t>当日结算价</w:t>
      </w:r>
      <w:r>
        <w:rPr>
          <w:rFonts w:ascii="仿宋" w:hAnsi="仿宋" w:cs="Arial"/>
          <w:kern w:val="0"/>
        </w:rPr>
        <w:fldChar w:fldCharType="end"/>
      </w:r>
      <w:r>
        <w:rPr>
          <w:rFonts w:ascii="仿宋" w:hAnsi="仿宋" w:cs="Arial"/>
          <w:kern w:val="0"/>
        </w:rPr>
        <w:t>对结算会员结算所有合约的盈亏、</w:t>
      </w:r>
      <w:r>
        <w:fldChar w:fldCharType="begin"/>
      </w:r>
      <w:r>
        <w:instrText xml:space="preserve"> HYPERLINK "http://baike.baidu.com/view/1126539.htm" \t "_blank" </w:instrText>
      </w:r>
      <w:r>
        <w:fldChar w:fldCharType="separate"/>
      </w:r>
      <w:r>
        <w:rPr>
          <w:rFonts w:ascii="仿宋" w:hAnsi="仿宋" w:cs="Arial"/>
          <w:kern w:val="0"/>
        </w:rPr>
        <w:t>交易保证金</w:t>
      </w:r>
      <w:r>
        <w:rPr>
          <w:rFonts w:ascii="仿宋" w:hAnsi="仿宋" w:cs="Arial"/>
          <w:kern w:val="0"/>
        </w:rPr>
        <w:fldChar w:fldCharType="end"/>
      </w:r>
      <w:r>
        <w:rPr>
          <w:rFonts w:ascii="仿宋" w:hAnsi="仿宋" w:cs="Arial"/>
          <w:kern w:val="0"/>
        </w:rPr>
        <w:t>及</w:t>
      </w:r>
      <w:r>
        <w:fldChar w:fldCharType="begin"/>
      </w:r>
      <w:r>
        <w:instrText xml:space="preserve"> HYPERLINK "http://baike.baidu.com/view/1147053.htm" \t "_blank" </w:instrText>
      </w:r>
      <w:r>
        <w:fldChar w:fldCharType="separate"/>
      </w:r>
      <w:r>
        <w:rPr>
          <w:rFonts w:ascii="仿宋" w:hAnsi="仿宋" w:cs="Arial"/>
          <w:kern w:val="0"/>
        </w:rPr>
        <w:t>手续费</w:t>
      </w:r>
      <w:r>
        <w:rPr>
          <w:rFonts w:ascii="仿宋" w:hAnsi="仿宋" w:cs="Arial"/>
          <w:kern w:val="0"/>
        </w:rPr>
        <w:fldChar w:fldCharType="end"/>
      </w:r>
      <w:r>
        <w:rPr>
          <w:rFonts w:ascii="仿宋" w:hAnsi="仿宋" w:cs="Arial"/>
          <w:kern w:val="0"/>
        </w:rPr>
        <w:t>、</w:t>
      </w:r>
      <w:r>
        <w:fldChar w:fldCharType="begin"/>
      </w:r>
      <w:r>
        <w:instrText xml:space="preserve"> HYPERLINK "http://baike.baidu.com/view/362866.htm" \t "_blank" </w:instrText>
      </w:r>
      <w:r>
        <w:fldChar w:fldCharType="separate"/>
      </w:r>
      <w:r>
        <w:rPr>
          <w:rFonts w:ascii="仿宋" w:hAnsi="仿宋" w:cs="Arial"/>
          <w:kern w:val="0"/>
        </w:rPr>
        <w:t>税金</w:t>
      </w:r>
      <w:r>
        <w:rPr>
          <w:rFonts w:ascii="仿宋" w:hAnsi="仿宋" w:cs="Arial"/>
          <w:kern w:val="0"/>
        </w:rPr>
        <w:fldChar w:fldCharType="end"/>
      </w:r>
      <w:r>
        <w:rPr>
          <w:rFonts w:ascii="仿宋" w:hAnsi="仿宋" w:cs="Arial"/>
          <w:kern w:val="0"/>
        </w:rPr>
        <w:t>等费用，对应收应付的款项实行净额一次划转，相应增加或减少</w:t>
      </w:r>
      <w:r>
        <w:fldChar w:fldCharType="begin"/>
      </w:r>
      <w:r>
        <w:instrText xml:space="preserve"> HYPERLINK "http://baike.baidu.com/view/1421979.htm" \t "_blank" </w:instrText>
      </w:r>
      <w:r>
        <w:fldChar w:fldCharType="separate"/>
      </w:r>
      <w:r>
        <w:rPr>
          <w:rFonts w:ascii="仿宋" w:hAnsi="仿宋" w:cs="Arial"/>
          <w:kern w:val="0"/>
        </w:rPr>
        <w:t>结算准备金</w:t>
      </w:r>
      <w:r>
        <w:rPr>
          <w:rFonts w:ascii="仿宋" w:hAnsi="仿宋" w:cs="Arial"/>
          <w:kern w:val="0"/>
        </w:rPr>
        <w:fldChar w:fldCharType="end"/>
      </w:r>
      <w:r>
        <w:rPr>
          <w:rFonts w:ascii="仿宋" w:hAnsi="仿宋" w:cs="Arial"/>
          <w:kern w:val="0"/>
        </w:rPr>
        <w:t>。</w:t>
      </w:r>
    </w:p>
    <w:p>
      <w:pPr>
        <w:widowControl/>
        <w:spacing w:line="360" w:lineRule="auto"/>
        <w:ind w:firstLine="480" w:firstLineChars="200"/>
        <w:jc w:val="left"/>
        <w:rPr>
          <w:rFonts w:ascii="仿宋" w:hAnsi="仿宋" w:cs="Arial"/>
          <w:kern w:val="0"/>
        </w:rPr>
      </w:pPr>
      <w:r>
        <w:rPr>
          <w:rFonts w:ascii="仿宋" w:hAnsi="仿宋" w:cs="Arial"/>
          <w:kern w:val="0"/>
        </w:rPr>
        <w:t>结算会员在交易所结算完成后，按照前款原则对客户、</w:t>
      </w:r>
      <w:r>
        <w:fldChar w:fldCharType="begin"/>
      </w:r>
      <w:r>
        <w:instrText xml:space="preserve"> HYPERLINK "http://baike.baidu.com/view/3316149.htm" \t "_blank" </w:instrText>
      </w:r>
      <w:r>
        <w:fldChar w:fldCharType="separate"/>
      </w:r>
      <w:r>
        <w:rPr>
          <w:rFonts w:ascii="仿宋" w:hAnsi="仿宋" w:cs="Arial"/>
          <w:kern w:val="0"/>
        </w:rPr>
        <w:t>交易会员</w:t>
      </w:r>
      <w:r>
        <w:rPr>
          <w:rFonts w:ascii="仿宋" w:hAnsi="仿宋" w:cs="Arial"/>
          <w:kern w:val="0"/>
        </w:rPr>
        <w:fldChar w:fldCharType="end"/>
      </w:r>
      <w:r>
        <w:rPr>
          <w:rFonts w:ascii="仿宋" w:hAnsi="仿宋" w:cs="Arial"/>
          <w:kern w:val="0"/>
        </w:rPr>
        <w:t>进行结算；交易会员按照前款原则对客户进行结算。</w:t>
      </w:r>
    </w:p>
    <w:p>
      <w:pPr>
        <w:widowControl/>
        <w:spacing w:line="360" w:lineRule="auto"/>
        <w:ind w:firstLine="480" w:firstLineChars="200"/>
        <w:jc w:val="left"/>
        <w:rPr>
          <w:rFonts w:ascii="仿宋" w:hAnsi="仿宋" w:cs="Arial"/>
          <w:kern w:val="0"/>
        </w:rPr>
      </w:pPr>
      <w:r>
        <w:rPr>
          <w:rFonts w:ascii="仿宋" w:hAnsi="仿宋" w:cs="Arial"/>
          <w:kern w:val="0"/>
        </w:rPr>
        <w:t>结算完毕后，结算会员的</w:t>
      </w:r>
      <w:r>
        <w:fldChar w:fldCharType="begin"/>
      </w:r>
      <w:r>
        <w:instrText xml:space="preserve"> HYPERLINK "http://baike.baidu.com/view/1421979.htm" \t "_blank" </w:instrText>
      </w:r>
      <w:r>
        <w:fldChar w:fldCharType="separate"/>
      </w:r>
      <w:r>
        <w:rPr>
          <w:rFonts w:ascii="仿宋" w:hAnsi="仿宋" w:cs="Arial"/>
          <w:kern w:val="0"/>
        </w:rPr>
        <w:t>结算准备金</w:t>
      </w:r>
      <w:r>
        <w:rPr>
          <w:rFonts w:ascii="仿宋" w:hAnsi="仿宋" w:cs="Arial"/>
          <w:kern w:val="0"/>
        </w:rPr>
        <w:fldChar w:fldCharType="end"/>
      </w:r>
      <w:r>
        <w:rPr>
          <w:rFonts w:ascii="仿宋" w:hAnsi="仿宋" w:cs="Arial"/>
          <w:kern w:val="0"/>
        </w:rPr>
        <w:t>余额低于最低余额标准时，该结算结果即视为交易所向结算会员发出的</w:t>
      </w:r>
      <w:r>
        <w:fldChar w:fldCharType="begin"/>
      </w:r>
      <w:r>
        <w:instrText xml:space="preserve"> HYPERLINK "http://baike.baidu.com/view/116122.htm" \t "_blank" </w:instrText>
      </w:r>
      <w:r>
        <w:fldChar w:fldCharType="separate"/>
      </w:r>
      <w:r>
        <w:rPr>
          <w:rFonts w:ascii="仿宋" w:hAnsi="仿宋" w:cs="Arial"/>
          <w:kern w:val="0"/>
        </w:rPr>
        <w:t>追加保证金</w:t>
      </w:r>
      <w:r>
        <w:rPr>
          <w:rFonts w:ascii="仿宋" w:hAnsi="仿宋" w:cs="Arial"/>
          <w:kern w:val="0"/>
        </w:rPr>
        <w:fldChar w:fldCharType="end"/>
      </w:r>
      <w:r>
        <w:rPr>
          <w:rFonts w:ascii="仿宋" w:hAnsi="仿宋" w:cs="Arial"/>
          <w:kern w:val="0"/>
        </w:rPr>
        <w:t>通知，两者的差额即为追加保证金</w:t>
      </w:r>
      <w:r>
        <w:fldChar w:fldCharType="begin"/>
      </w:r>
      <w:r>
        <w:instrText xml:space="preserve"> HYPERLINK "http://baike.baidu.com/view/1578919.htm" \t "_blank" </w:instrText>
      </w:r>
      <w:r>
        <w:fldChar w:fldCharType="separate"/>
      </w:r>
      <w:r>
        <w:rPr>
          <w:rFonts w:ascii="仿宋" w:hAnsi="仿宋" w:cs="Arial"/>
          <w:kern w:val="0"/>
        </w:rPr>
        <w:t>金额</w:t>
      </w:r>
      <w:r>
        <w:rPr>
          <w:rFonts w:ascii="仿宋" w:hAnsi="仿宋" w:cs="Arial"/>
          <w:kern w:val="0"/>
        </w:rPr>
        <w:fldChar w:fldCharType="end"/>
      </w:r>
      <w:r>
        <w:rPr>
          <w:rFonts w:ascii="仿宋" w:hAnsi="仿宋" w:cs="Arial"/>
          <w:kern w:val="0"/>
        </w:rPr>
        <w:t>。</w:t>
      </w:r>
    </w:p>
    <w:p>
      <w:pPr>
        <w:pStyle w:val="3"/>
        <w:rPr>
          <w:sz w:val="24"/>
          <w:szCs w:val="24"/>
        </w:rPr>
      </w:pPr>
      <w:bookmarkStart w:id="395" w:name="_Toc399750568"/>
      <w:bookmarkStart w:id="396" w:name="_Toc400554012"/>
      <w:bookmarkStart w:id="397" w:name="_Toc410115191"/>
      <w:bookmarkStart w:id="398" w:name="_Toc3896808"/>
      <w:r>
        <w:rPr>
          <w:rFonts w:hint="eastAsia"/>
          <w:sz w:val="24"/>
          <w:szCs w:val="24"/>
        </w:rPr>
        <w:t>十、关于保证金管理</w:t>
      </w:r>
      <w:bookmarkEnd w:id="395"/>
      <w:r>
        <w:rPr>
          <w:rFonts w:hint="eastAsia"/>
          <w:sz w:val="24"/>
          <w:szCs w:val="24"/>
        </w:rPr>
        <w:t>的规定</w:t>
      </w:r>
      <w:bookmarkEnd w:id="396"/>
      <w:bookmarkEnd w:id="397"/>
      <w:bookmarkEnd w:id="398"/>
    </w:p>
    <w:p>
      <w:pPr>
        <w:widowControl/>
        <w:spacing w:line="360" w:lineRule="auto"/>
        <w:ind w:firstLine="480" w:firstLineChars="200"/>
        <w:contextualSpacing/>
        <w:rPr>
          <w:rFonts w:ascii="仿宋" w:hAnsi="仿宋"/>
          <w:kern w:val="0"/>
        </w:rPr>
      </w:pPr>
      <w:r>
        <w:rPr>
          <w:rFonts w:hint="eastAsia" w:ascii="仿宋" w:hAnsi="仿宋"/>
          <w:kern w:val="0"/>
        </w:rPr>
        <w:t>了解保证金封闭管理要求，保证客户资产安全完整。理解各方主体在保证金管理体系中的责任及义务。</w:t>
      </w:r>
    </w:p>
    <w:p>
      <w:pPr>
        <w:pStyle w:val="4"/>
        <w:spacing w:before="0" w:after="0" w:line="360" w:lineRule="auto"/>
        <w:rPr>
          <w:kern w:val="0"/>
          <w:szCs w:val="24"/>
        </w:rPr>
      </w:pPr>
      <w:bookmarkStart w:id="399" w:name="_Toc400554013"/>
      <w:bookmarkStart w:id="400" w:name="_Toc410115192"/>
      <w:bookmarkStart w:id="401" w:name="_Toc3896809"/>
      <w:r>
        <w:rPr>
          <w:rFonts w:hint="eastAsia" w:ascii="仿宋" w:hAnsi="仿宋"/>
          <w:kern w:val="0"/>
          <w:szCs w:val="24"/>
        </w:rPr>
        <w:t>（一）</w:t>
      </w:r>
      <w:r>
        <w:rPr>
          <w:rFonts w:hint="eastAsia"/>
          <w:kern w:val="0"/>
          <w:szCs w:val="24"/>
        </w:rPr>
        <w:t>《期货公司监督管理办法》</w:t>
      </w:r>
      <w:bookmarkEnd w:id="399"/>
      <w:bookmarkEnd w:id="400"/>
      <w:bookmarkEnd w:id="401"/>
    </w:p>
    <w:p>
      <w:pPr>
        <w:widowControl/>
        <w:spacing w:line="360" w:lineRule="auto"/>
        <w:ind w:firstLine="480" w:firstLineChars="200"/>
        <w:contextualSpacing/>
        <w:rPr>
          <w:rFonts w:ascii="仿宋" w:hAnsi="仿宋" w:cs="宋体"/>
          <w:b/>
        </w:rPr>
      </w:pPr>
      <w:r>
        <w:rPr>
          <w:rFonts w:hint="eastAsia" w:ascii="仿宋" w:hAnsi="仿宋" w:cs="宋体"/>
        </w:rPr>
        <w:t>依据：</w:t>
      </w:r>
      <w:r>
        <w:rPr>
          <w:rFonts w:hint="eastAsia" w:ascii="仿宋" w:hAnsi="仿宋" w:cs="宋体"/>
          <w:b/>
        </w:rPr>
        <w:t xml:space="preserve"> </w:t>
      </w:r>
    </w:p>
    <w:p>
      <w:pPr>
        <w:widowControl/>
        <w:spacing w:line="360" w:lineRule="auto"/>
        <w:ind w:firstLine="480" w:firstLineChars="200"/>
        <w:contextualSpacing/>
        <w:rPr>
          <w:rFonts w:ascii="仿宋" w:hAnsi="仿宋" w:cs="Arial"/>
          <w:kern w:val="0"/>
        </w:rPr>
      </w:pPr>
      <w:bookmarkStart w:id="402" w:name="#go73"/>
      <w:r>
        <w:rPr>
          <w:rFonts w:hint="eastAsia" w:ascii="仿宋" w:hAnsi="仿宋" w:cs="Arial"/>
          <w:kern w:val="0"/>
        </w:rPr>
        <w:t>第七十三条 期货公司应当按照规定及时向期货保证金安全存管监控机构报送信息。</w:t>
      </w:r>
    </w:p>
    <w:p>
      <w:pPr>
        <w:widowControl/>
        <w:spacing w:line="360" w:lineRule="auto"/>
        <w:ind w:firstLine="480" w:firstLineChars="200"/>
        <w:contextualSpacing/>
        <w:rPr>
          <w:rFonts w:ascii="仿宋" w:hAnsi="仿宋" w:cs="Arial"/>
          <w:kern w:val="0"/>
        </w:rPr>
      </w:pPr>
      <w:r>
        <w:rPr>
          <w:rFonts w:hint="eastAsia" w:ascii="仿宋" w:hAnsi="仿宋" w:cs="Arial"/>
          <w:kern w:val="0"/>
        </w:rPr>
        <w:t>第七十四条 期货保证金存管银行未按规定向期货保证金安全存管监控机构报送信息，被期货交易所采取自律监管措施或者被中国证监会采取监管措施、处以行政处罚的，期货公司应当暂停在该存管银行开立期货保证金账户，并将期货保证金转存至其他符合规定的期货保证金存管银行。</w:t>
      </w:r>
    </w:p>
    <w:p>
      <w:pPr>
        <w:widowControl/>
        <w:spacing w:line="360" w:lineRule="auto"/>
        <w:ind w:firstLine="480" w:firstLineChars="200"/>
        <w:contextualSpacing/>
        <w:rPr>
          <w:rFonts w:ascii="仿宋" w:hAnsi="仿宋" w:cs="Arial"/>
          <w:kern w:val="0"/>
        </w:rPr>
      </w:pPr>
      <w:r>
        <w:rPr>
          <w:rFonts w:hint="eastAsia" w:ascii="仿宋" w:hAnsi="仿宋" w:cs="Arial"/>
          <w:kern w:val="0"/>
        </w:rPr>
        <w:t>第七十五条 期货公司应当按照期货交易所规则，缴存结算担保金，并维持最低数额的结算准备金等专用资金，确保客户正常交易。</w:t>
      </w:r>
      <w:bookmarkEnd w:id="402"/>
      <w:bookmarkStart w:id="403" w:name="#go76"/>
    </w:p>
    <w:bookmarkEnd w:id="403"/>
    <w:p>
      <w:pPr>
        <w:widowControl/>
        <w:spacing w:line="360" w:lineRule="auto"/>
        <w:ind w:firstLine="480" w:firstLineChars="200"/>
        <w:jc w:val="left"/>
        <w:rPr>
          <w:rFonts w:ascii="仿宋" w:hAnsi="仿宋" w:cs="Arial"/>
          <w:kern w:val="0"/>
        </w:rPr>
      </w:pPr>
    </w:p>
    <w:p>
      <w:pPr>
        <w:pStyle w:val="4"/>
        <w:spacing w:before="0" w:after="0" w:line="360" w:lineRule="auto"/>
        <w:rPr>
          <w:rFonts w:cs="Arial"/>
          <w:kern w:val="0"/>
          <w:szCs w:val="24"/>
        </w:rPr>
      </w:pPr>
      <w:bookmarkStart w:id="404" w:name="_Toc400554014"/>
      <w:bookmarkStart w:id="405" w:name="_Toc410115193"/>
      <w:bookmarkStart w:id="406" w:name="_Toc3896810"/>
      <w:r>
        <w:rPr>
          <w:rFonts w:hint="eastAsia" w:ascii="仿宋" w:hAnsi="仿宋"/>
          <w:kern w:val="0"/>
          <w:szCs w:val="24"/>
        </w:rPr>
        <w:t>（二）</w:t>
      </w:r>
      <w:r>
        <w:rPr>
          <w:rFonts w:hint="eastAsia"/>
          <w:kern w:val="0"/>
          <w:szCs w:val="24"/>
        </w:rPr>
        <w:t>《期货经纪公司保证金封闭管理暂行办法》</w:t>
      </w:r>
      <w:bookmarkEnd w:id="404"/>
      <w:bookmarkEnd w:id="405"/>
      <w:bookmarkEnd w:id="406"/>
    </w:p>
    <w:p>
      <w:pPr>
        <w:widowControl/>
        <w:spacing w:line="360" w:lineRule="auto"/>
        <w:ind w:firstLine="480" w:firstLineChars="200"/>
        <w:jc w:val="left"/>
        <w:rPr>
          <w:rFonts w:ascii="仿宋" w:hAnsi="仿宋" w:cs="宋体"/>
        </w:rPr>
      </w:pPr>
      <w:bookmarkStart w:id="407" w:name="7"/>
      <w:r>
        <w:rPr>
          <w:rFonts w:hint="eastAsia" w:ascii="仿宋" w:hAnsi="仿宋" w:cs="宋体"/>
        </w:rPr>
        <w:t>依据：</w:t>
      </w:r>
    </w:p>
    <w:p>
      <w:pPr>
        <w:widowControl/>
        <w:spacing w:line="360" w:lineRule="auto"/>
        <w:ind w:firstLine="480" w:firstLineChars="200"/>
        <w:jc w:val="left"/>
        <w:rPr>
          <w:rFonts w:ascii="仿宋" w:hAnsi="仿宋" w:cs="宋体"/>
          <w:kern w:val="0"/>
        </w:rPr>
      </w:pPr>
      <w:r>
        <w:rPr>
          <w:rFonts w:hint="eastAsia" w:ascii="仿宋" w:hAnsi="仿宋"/>
          <w:kern w:val="0"/>
        </w:rPr>
        <w:t>《期货经纪公司保证金封闭管理暂行办法》</w:t>
      </w:r>
      <w:r>
        <w:rPr>
          <w:rFonts w:hint="eastAsia" w:ascii="仿宋" w:hAnsi="仿宋" w:cs="宋体"/>
          <w:bCs/>
          <w:smallCaps/>
          <w:kern w:val="0"/>
        </w:rPr>
        <w:t>第七条</w:t>
      </w:r>
      <w:bookmarkEnd w:id="407"/>
      <w:r>
        <w:rPr>
          <w:rFonts w:hint="eastAsia" w:ascii="仿宋" w:hAnsi="仿宋" w:cs="宋体"/>
          <w:kern w:val="0"/>
        </w:rPr>
        <w:t>　期货公司及其分支机构应在结算银行开设保证金专用账户，专用于保证金的存放。</w:t>
      </w:r>
      <w:bookmarkStart w:id="408" w:name="8"/>
    </w:p>
    <w:p>
      <w:pPr>
        <w:widowControl/>
        <w:spacing w:line="360" w:lineRule="auto"/>
        <w:ind w:firstLine="480" w:firstLineChars="200"/>
        <w:jc w:val="left"/>
        <w:rPr>
          <w:rFonts w:ascii="仿宋" w:hAnsi="仿宋" w:cs="宋体"/>
          <w:kern w:val="0"/>
        </w:rPr>
      </w:pPr>
      <w:r>
        <w:rPr>
          <w:rFonts w:hint="eastAsia" w:ascii="仿宋" w:hAnsi="仿宋" w:cs="Arial"/>
          <w:kern w:val="0"/>
        </w:rPr>
        <w:t>第八条</w:t>
      </w:r>
      <w:bookmarkEnd w:id="408"/>
      <w:r>
        <w:rPr>
          <w:rFonts w:hint="eastAsia" w:ascii="仿宋" w:hAnsi="仿宋" w:cs="宋体"/>
          <w:kern w:val="0"/>
        </w:rPr>
        <w:t>　期货公司及其分支机构在同一家结算银行，只能各自开设一个保证金专用账户。</w:t>
      </w:r>
      <w:bookmarkStart w:id="409" w:name="9"/>
    </w:p>
    <w:p>
      <w:pPr>
        <w:widowControl/>
        <w:spacing w:line="360" w:lineRule="auto"/>
        <w:ind w:firstLine="480" w:firstLineChars="200"/>
        <w:jc w:val="left"/>
        <w:rPr>
          <w:rFonts w:ascii="仿宋" w:hAnsi="仿宋" w:cs="宋体"/>
          <w:kern w:val="0"/>
        </w:rPr>
      </w:pPr>
      <w:r>
        <w:rPr>
          <w:rFonts w:hint="eastAsia" w:ascii="仿宋" w:hAnsi="仿宋" w:cs="Arial"/>
          <w:kern w:val="0"/>
        </w:rPr>
        <w:t>第九条</w:t>
      </w:r>
      <w:bookmarkEnd w:id="409"/>
      <w:r>
        <w:rPr>
          <w:rFonts w:hint="eastAsia" w:ascii="仿宋" w:hAnsi="仿宋" w:cs="宋体"/>
          <w:kern w:val="0"/>
        </w:rPr>
        <w:t>　期货公司根据业务需要可以在多家结算银行开设保证金专用账户，但必须指定一家结算银行为主办结算银行。</w:t>
      </w:r>
    </w:p>
    <w:p>
      <w:pPr>
        <w:widowControl/>
        <w:spacing w:line="360" w:lineRule="auto"/>
        <w:ind w:firstLine="480" w:firstLineChars="200"/>
        <w:jc w:val="left"/>
        <w:rPr>
          <w:rFonts w:ascii="仿宋" w:hAnsi="仿宋" w:cs="宋体"/>
          <w:kern w:val="0"/>
        </w:rPr>
      </w:pPr>
      <w:r>
        <w:rPr>
          <w:rFonts w:hint="eastAsia" w:ascii="仿宋" w:hAnsi="仿宋" w:cs="宋体"/>
          <w:kern w:val="0"/>
        </w:rPr>
        <w:t>期货公司应在主办结算银行开设一个用于保证金封闭圈与自有资金间相互划转的专用自有资金账户。</w:t>
      </w:r>
      <w:bookmarkStart w:id="410" w:name="10"/>
    </w:p>
    <w:p>
      <w:pPr>
        <w:widowControl/>
        <w:spacing w:line="360" w:lineRule="auto"/>
        <w:ind w:firstLine="480" w:firstLineChars="200"/>
        <w:jc w:val="left"/>
        <w:rPr>
          <w:rFonts w:ascii="仿宋" w:hAnsi="仿宋" w:cs="宋体"/>
          <w:kern w:val="0"/>
        </w:rPr>
      </w:pPr>
      <w:r>
        <w:rPr>
          <w:rFonts w:hint="eastAsia" w:ascii="仿宋" w:hAnsi="仿宋" w:cs="Arial"/>
          <w:kern w:val="0"/>
        </w:rPr>
        <w:t>第十条</w:t>
      </w:r>
      <w:bookmarkEnd w:id="410"/>
      <w:r>
        <w:rPr>
          <w:rFonts w:hint="eastAsia" w:ascii="仿宋" w:hAnsi="仿宋" w:cs="宋体"/>
          <w:kern w:val="0"/>
        </w:rPr>
        <w:t>　期货公司必须将保证金存放于保证金专用账户。根据需要，保证金可以在期货公司保证金专用账户、期货公司在期货交易所所在地开设的专用资金账户、期货公司在交易所的资金账户之间划转。上述账户共同构成保证金封闭圈。保证金只能在封闭圈内划转，封闭运行。</w:t>
      </w:r>
      <w:bookmarkStart w:id="411" w:name="11"/>
    </w:p>
    <w:p>
      <w:pPr>
        <w:widowControl/>
        <w:spacing w:line="360" w:lineRule="auto"/>
        <w:ind w:firstLine="480" w:firstLineChars="200"/>
        <w:jc w:val="left"/>
        <w:rPr>
          <w:rFonts w:ascii="仿宋" w:hAnsi="仿宋" w:cs="宋体"/>
          <w:kern w:val="0"/>
        </w:rPr>
      </w:pPr>
      <w:r>
        <w:rPr>
          <w:rFonts w:hint="eastAsia" w:ascii="仿宋" w:hAnsi="仿宋" w:cs="Arial"/>
          <w:kern w:val="0"/>
        </w:rPr>
        <w:t>第十一条</w:t>
      </w:r>
      <w:bookmarkEnd w:id="411"/>
      <w:r>
        <w:rPr>
          <w:rFonts w:hint="eastAsia" w:ascii="仿宋" w:hAnsi="仿宋" w:cs="宋体"/>
          <w:kern w:val="0"/>
        </w:rPr>
        <w:t>　除客户出金及本办法第十三、十四条所述情况外，期货公司不得将资金划出封闭圈。</w:t>
      </w:r>
    </w:p>
    <w:p>
      <w:pPr>
        <w:widowControl/>
        <w:spacing w:line="360" w:lineRule="auto"/>
        <w:ind w:firstLine="480" w:firstLineChars="200"/>
        <w:jc w:val="left"/>
        <w:rPr>
          <w:rFonts w:ascii="仿宋" w:hAnsi="仿宋" w:cs="宋体"/>
          <w:kern w:val="0"/>
        </w:rPr>
      </w:pPr>
      <w:r>
        <w:rPr>
          <w:rFonts w:hint="eastAsia" w:ascii="仿宋" w:hAnsi="仿宋" w:cs="宋体"/>
          <w:kern w:val="0"/>
        </w:rPr>
        <w:t>严禁以质押等方式变相挪用占用保证金。</w:t>
      </w:r>
      <w:bookmarkStart w:id="412" w:name="12"/>
    </w:p>
    <w:p>
      <w:pPr>
        <w:widowControl/>
        <w:spacing w:line="360" w:lineRule="auto"/>
        <w:ind w:firstLine="480" w:firstLineChars="200"/>
        <w:jc w:val="left"/>
        <w:rPr>
          <w:rFonts w:ascii="仿宋" w:hAnsi="仿宋" w:cs="宋体"/>
          <w:kern w:val="0"/>
        </w:rPr>
      </w:pPr>
      <w:r>
        <w:rPr>
          <w:rFonts w:hint="eastAsia" w:ascii="仿宋" w:hAnsi="仿宋" w:cs="Arial"/>
          <w:kern w:val="0"/>
        </w:rPr>
        <w:t>第十二条</w:t>
      </w:r>
      <w:bookmarkEnd w:id="412"/>
      <w:r>
        <w:rPr>
          <w:rFonts w:hint="eastAsia" w:ascii="仿宋" w:hAnsi="仿宋" w:cs="宋体"/>
          <w:kern w:val="0"/>
        </w:rPr>
        <w:t>　期货公司自有资金账户与保证金封闭圈相互隔离。期货公司根据需要，在保证金封闭圈和自有资金之间划转资金，只能通过主办结算银行的保证金专用账户和专用自有资金账户之间进行。</w:t>
      </w:r>
      <w:bookmarkStart w:id="413" w:name="13"/>
    </w:p>
    <w:p>
      <w:pPr>
        <w:widowControl/>
        <w:spacing w:line="360" w:lineRule="auto"/>
        <w:ind w:firstLine="480" w:firstLineChars="200"/>
        <w:jc w:val="left"/>
        <w:rPr>
          <w:rFonts w:ascii="仿宋" w:hAnsi="仿宋" w:cs="宋体"/>
          <w:kern w:val="0"/>
        </w:rPr>
      </w:pPr>
      <w:r>
        <w:rPr>
          <w:rFonts w:hint="eastAsia" w:ascii="仿宋" w:hAnsi="仿宋" w:cs="Arial"/>
          <w:kern w:val="0"/>
        </w:rPr>
        <w:t>第十三条</w:t>
      </w:r>
      <w:bookmarkEnd w:id="413"/>
      <w:r>
        <w:rPr>
          <w:rFonts w:hint="eastAsia" w:ascii="仿宋" w:hAnsi="仿宋" w:cs="宋体"/>
          <w:kern w:val="0"/>
        </w:rPr>
        <w:t>　期货公司为收取手续费、利息，支付席位费、电话费等，应在保证金封闭圈与专用自有资金账户间相互划款，同时必须向主办结算银行出具划拨资金专项说明及有关凭证。</w:t>
      </w:r>
      <w:bookmarkStart w:id="414" w:name="14"/>
    </w:p>
    <w:p>
      <w:pPr>
        <w:widowControl/>
        <w:spacing w:line="360" w:lineRule="auto"/>
        <w:ind w:firstLine="480" w:firstLineChars="200"/>
        <w:jc w:val="left"/>
        <w:rPr>
          <w:rFonts w:ascii="仿宋" w:hAnsi="仿宋" w:cs="宋体"/>
          <w:kern w:val="0"/>
        </w:rPr>
      </w:pPr>
      <w:r>
        <w:rPr>
          <w:rFonts w:hint="eastAsia" w:ascii="仿宋" w:hAnsi="仿宋" w:cs="Arial"/>
          <w:kern w:val="0"/>
        </w:rPr>
        <w:t>第十四条</w:t>
      </w:r>
      <w:bookmarkEnd w:id="414"/>
      <w:r>
        <w:rPr>
          <w:rFonts w:hint="eastAsia" w:ascii="仿宋" w:hAnsi="仿宋" w:cs="宋体"/>
          <w:kern w:val="0"/>
        </w:rPr>
        <w:t xml:space="preserve"> 期货公司为满足客户在不同期货交易所之间的交易需求，保证客户的交易结算，以自有资金临时补充结算准备金的，只能从专用自有资金账户调入主办结算银行的保证金专用账户，同时必须向主办结算银行说明该笔资金的用途。</w:t>
      </w:r>
    </w:p>
    <w:p>
      <w:pPr>
        <w:widowControl/>
        <w:spacing w:line="360" w:lineRule="auto"/>
        <w:ind w:firstLine="480" w:firstLineChars="200"/>
        <w:jc w:val="left"/>
        <w:rPr>
          <w:rFonts w:ascii="仿宋" w:hAnsi="仿宋" w:cs="宋体"/>
          <w:kern w:val="0"/>
        </w:rPr>
      </w:pPr>
      <w:r>
        <w:rPr>
          <w:rFonts w:hint="eastAsia" w:ascii="仿宋" w:hAnsi="仿宋" w:cs="宋体"/>
          <w:kern w:val="0"/>
        </w:rPr>
        <w:t>期货公司完成临时周转后需要将调入的资金划回自有资金账户的，只能从主办结算银行的保证金专用账户划入专用自有资金账户，并向主办结算银行出具有关凭证及相关说明，且累计划出金额不得大于前期累计划入金额。</w:t>
      </w:r>
      <w:bookmarkStart w:id="415" w:name="15"/>
    </w:p>
    <w:p>
      <w:pPr>
        <w:widowControl/>
        <w:spacing w:line="360" w:lineRule="auto"/>
        <w:ind w:firstLine="480" w:firstLineChars="200"/>
        <w:jc w:val="left"/>
        <w:rPr>
          <w:rFonts w:ascii="仿宋" w:hAnsi="仿宋" w:cs="宋体"/>
          <w:kern w:val="0"/>
        </w:rPr>
      </w:pPr>
      <w:r>
        <w:rPr>
          <w:rFonts w:hint="eastAsia" w:ascii="仿宋" w:hAnsi="仿宋" w:cs="Arial"/>
          <w:kern w:val="0"/>
        </w:rPr>
        <w:t>第十五条</w:t>
      </w:r>
      <w:bookmarkEnd w:id="415"/>
      <w:r>
        <w:rPr>
          <w:rFonts w:hint="eastAsia" w:ascii="仿宋" w:hAnsi="仿宋" w:cs="宋体"/>
          <w:kern w:val="0"/>
        </w:rPr>
        <w:t xml:space="preserve"> 期货公司分支机构开设的保证金专用账户与其自有资金账户之间，应当完全隔离，不得相互划转资金。</w:t>
      </w:r>
      <w:bookmarkStart w:id="416" w:name="16"/>
    </w:p>
    <w:p>
      <w:pPr>
        <w:widowControl/>
        <w:spacing w:line="360" w:lineRule="auto"/>
        <w:ind w:firstLine="480" w:firstLineChars="200"/>
        <w:jc w:val="left"/>
        <w:rPr>
          <w:rFonts w:ascii="仿宋" w:hAnsi="仿宋" w:cs="宋体"/>
          <w:kern w:val="0"/>
        </w:rPr>
      </w:pPr>
      <w:r>
        <w:rPr>
          <w:rFonts w:hint="eastAsia" w:ascii="仿宋" w:hAnsi="仿宋" w:cs="Arial"/>
          <w:kern w:val="0"/>
        </w:rPr>
        <w:t>第十六条</w:t>
      </w:r>
      <w:bookmarkEnd w:id="416"/>
      <w:r>
        <w:rPr>
          <w:rFonts w:hint="eastAsia" w:ascii="仿宋" w:hAnsi="仿宋" w:cs="宋体"/>
          <w:kern w:val="0"/>
        </w:rPr>
        <w:t xml:space="preserve"> 期货公司发生客户穿仓时应当及时以自有资金补足保证金，不得占用其他客户的保证金。以自有资金补足保证金时，应通过专用自有资金账户调入主办结算银行保证金专用账户，同时，必须向主办结算银行说明该笔资金的用途。</w:t>
      </w:r>
      <w:bookmarkStart w:id="417" w:name="17"/>
    </w:p>
    <w:p>
      <w:pPr>
        <w:widowControl/>
        <w:spacing w:line="360" w:lineRule="auto"/>
        <w:ind w:firstLine="480" w:firstLineChars="200"/>
        <w:jc w:val="left"/>
        <w:rPr>
          <w:rFonts w:ascii="仿宋" w:hAnsi="仿宋" w:cs="宋体"/>
          <w:kern w:val="0"/>
        </w:rPr>
      </w:pPr>
      <w:r>
        <w:rPr>
          <w:rFonts w:hint="eastAsia" w:ascii="仿宋" w:hAnsi="仿宋" w:cs="Arial"/>
          <w:kern w:val="0"/>
        </w:rPr>
        <w:t>第十七条</w:t>
      </w:r>
      <w:bookmarkEnd w:id="417"/>
      <w:r>
        <w:rPr>
          <w:rFonts w:hint="eastAsia" w:ascii="仿宋" w:hAnsi="仿宋" w:cs="Arial"/>
          <w:kern w:val="0"/>
        </w:rPr>
        <w:t xml:space="preserve"> </w:t>
      </w:r>
      <w:r>
        <w:rPr>
          <w:rFonts w:hint="eastAsia" w:ascii="仿宋" w:hAnsi="仿宋" w:cs="宋体"/>
          <w:kern w:val="0"/>
        </w:rPr>
        <w:t>期货公司应当依据相关法规允许的结算方式从保证金专用账户为客户出金，不得将保证金划至自有资金账户后再从自有资金账户向客户出金。</w:t>
      </w:r>
      <w:bookmarkStart w:id="418" w:name="18"/>
    </w:p>
    <w:p>
      <w:pPr>
        <w:widowControl/>
        <w:spacing w:line="360" w:lineRule="auto"/>
        <w:ind w:firstLine="480" w:firstLineChars="200"/>
        <w:jc w:val="left"/>
        <w:rPr>
          <w:rFonts w:ascii="仿宋" w:hAnsi="仿宋" w:cs="宋体"/>
          <w:kern w:val="0"/>
        </w:rPr>
      </w:pPr>
      <w:r>
        <w:rPr>
          <w:rFonts w:hint="eastAsia" w:ascii="仿宋" w:hAnsi="仿宋" w:cs="Arial"/>
          <w:kern w:val="0"/>
        </w:rPr>
        <w:t>第十八条</w:t>
      </w:r>
      <w:bookmarkEnd w:id="418"/>
      <w:r>
        <w:rPr>
          <w:rFonts w:hint="eastAsia" w:ascii="仿宋" w:hAnsi="仿宋" w:cs="宋体"/>
          <w:kern w:val="0"/>
        </w:rPr>
        <w:t xml:space="preserve"> 期货公司为客户办理出金时，收款人账户名称应与出金客户名称一致。</w:t>
      </w:r>
    </w:p>
    <w:p>
      <w:pPr>
        <w:widowControl/>
        <w:spacing w:line="360" w:lineRule="auto"/>
        <w:ind w:firstLine="480" w:firstLineChars="200"/>
        <w:jc w:val="left"/>
        <w:rPr>
          <w:rFonts w:ascii="仿宋" w:hAnsi="仿宋"/>
        </w:rPr>
      </w:pPr>
      <w:r>
        <w:rPr>
          <w:rFonts w:hint="eastAsia" w:ascii="仿宋" w:hAnsi="仿宋" w:cs="宋体"/>
          <w:kern w:val="0"/>
        </w:rPr>
        <w:t>期货公司客户急需调拨资金，要求期货公司将其资金从保证金封闭圈调拨至与客户名称不一致的账户时，期货公司应向结算银行出具说明，同时出具客户的资金权益凭证和书面申请或授权。</w:t>
      </w:r>
    </w:p>
    <w:p>
      <w:pPr>
        <w:pStyle w:val="3"/>
        <w:rPr>
          <w:sz w:val="24"/>
          <w:szCs w:val="24"/>
        </w:rPr>
      </w:pPr>
      <w:bookmarkStart w:id="419" w:name="_Toc399750570"/>
      <w:bookmarkStart w:id="420" w:name="_Toc400554015"/>
      <w:bookmarkStart w:id="421" w:name="_Toc410115194"/>
      <w:bookmarkStart w:id="422" w:name="_Toc3896811"/>
      <w:r>
        <w:rPr>
          <w:rFonts w:hint="eastAsia"/>
          <w:sz w:val="24"/>
          <w:szCs w:val="24"/>
        </w:rPr>
        <w:t>十一、关于经纪业务开销户业务流程</w:t>
      </w:r>
      <w:bookmarkEnd w:id="419"/>
      <w:bookmarkEnd w:id="420"/>
      <w:bookmarkEnd w:id="421"/>
      <w:bookmarkEnd w:id="422"/>
    </w:p>
    <w:p>
      <w:pPr>
        <w:widowControl/>
        <w:spacing w:line="360" w:lineRule="auto"/>
        <w:ind w:firstLine="480" w:firstLineChars="200"/>
        <w:contextualSpacing/>
        <w:rPr>
          <w:rFonts w:ascii="仿宋" w:hAnsi="仿宋"/>
          <w:b/>
        </w:rPr>
      </w:pPr>
      <w:r>
        <w:rPr>
          <w:rFonts w:hint="eastAsia" w:ascii="仿宋" w:hAnsi="仿宋"/>
          <w:kern w:val="0"/>
        </w:rPr>
        <w:t>掌握开销户有关规定及相应流程，尤其是有关风险提示及有关于保证金监控中心数据传输相关要求。</w:t>
      </w:r>
    </w:p>
    <w:p>
      <w:pPr>
        <w:pStyle w:val="4"/>
        <w:spacing w:before="0" w:after="0" w:line="360" w:lineRule="auto"/>
        <w:rPr>
          <w:szCs w:val="24"/>
        </w:rPr>
      </w:pPr>
      <w:bookmarkStart w:id="423" w:name="_Toc400554016"/>
      <w:bookmarkStart w:id="424" w:name="_Toc410115195"/>
      <w:bookmarkStart w:id="425" w:name="_Toc3896812"/>
      <w:r>
        <w:rPr>
          <w:rFonts w:hint="eastAsia" w:ascii="仿宋" w:hAnsi="仿宋"/>
          <w:kern w:val="0"/>
          <w:szCs w:val="24"/>
        </w:rPr>
        <w:t>（一）</w:t>
      </w:r>
      <w:r>
        <w:rPr>
          <w:rFonts w:hint="eastAsia"/>
          <w:szCs w:val="24"/>
        </w:rPr>
        <w:t>《期货公司监督管理办法》</w:t>
      </w:r>
      <w:bookmarkEnd w:id="423"/>
      <w:bookmarkEnd w:id="424"/>
      <w:bookmarkEnd w:id="425"/>
    </w:p>
    <w:p>
      <w:pPr>
        <w:widowControl/>
        <w:spacing w:line="360" w:lineRule="auto"/>
        <w:ind w:firstLine="480" w:firstLineChars="200"/>
        <w:contextualSpacing/>
        <w:rPr>
          <w:rFonts w:ascii="仿宋" w:hAnsi="仿宋" w:cs="Arial"/>
          <w:kern w:val="0"/>
        </w:rPr>
      </w:pPr>
      <w:r>
        <w:rPr>
          <w:rFonts w:hint="eastAsia" w:ascii="仿宋" w:hAnsi="仿宋" w:cs="Arial"/>
          <w:kern w:val="0"/>
        </w:rPr>
        <w:t>第五十三条 客户开立账户，应当出具合法有效的单位、个人身份证明或者其他证明材料。</w:t>
      </w:r>
    </w:p>
    <w:p>
      <w:pPr>
        <w:widowControl/>
        <w:spacing w:line="360" w:lineRule="auto"/>
        <w:ind w:firstLine="480" w:firstLineChars="200"/>
        <w:contextualSpacing/>
        <w:rPr>
          <w:rFonts w:ascii="仿宋" w:hAnsi="仿宋" w:cs="Arial"/>
          <w:kern w:val="0"/>
        </w:rPr>
      </w:pPr>
      <w:r>
        <w:rPr>
          <w:rFonts w:hint="eastAsia" w:ascii="仿宋" w:hAnsi="仿宋" w:cs="Arial"/>
          <w:kern w:val="0"/>
        </w:rPr>
        <w:t>第五十四条 期货公司在为客户开立期货经纪账户前，应当向客户出示《期货交易风险说明书》，由客户签字确认，并签订期货经纪合同。</w:t>
      </w:r>
    </w:p>
    <w:p>
      <w:pPr>
        <w:widowControl/>
        <w:spacing w:line="360" w:lineRule="auto"/>
        <w:ind w:firstLine="480" w:firstLineChars="200"/>
        <w:contextualSpacing/>
        <w:rPr>
          <w:rFonts w:ascii="仿宋" w:hAnsi="仿宋" w:cs="Arial"/>
          <w:kern w:val="0"/>
        </w:rPr>
      </w:pPr>
      <w:r>
        <w:rPr>
          <w:rFonts w:hint="eastAsia" w:ascii="仿宋" w:hAnsi="仿宋" w:cs="Arial"/>
          <w:kern w:val="0"/>
        </w:rPr>
        <w:t>《〈期货经纪合同〉指引》和《期货交易风险说明书》由中国期货业协会制定。</w:t>
      </w:r>
    </w:p>
    <w:p>
      <w:pPr>
        <w:widowControl/>
        <w:spacing w:line="360" w:lineRule="auto"/>
        <w:ind w:firstLine="480" w:firstLineChars="200"/>
        <w:contextualSpacing/>
        <w:rPr>
          <w:rFonts w:ascii="仿宋" w:hAnsi="仿宋" w:cs="Arial"/>
          <w:kern w:val="0"/>
        </w:rPr>
      </w:pPr>
      <w:r>
        <w:rPr>
          <w:rFonts w:hint="eastAsia" w:ascii="仿宋" w:hAnsi="仿宋" w:cs="Arial"/>
          <w:kern w:val="0"/>
        </w:rPr>
        <w:t>第五十五条 客户可以通过书面、电话、计算机、互联网等委托方式下达交易指令。</w:t>
      </w:r>
    </w:p>
    <w:p>
      <w:pPr>
        <w:widowControl/>
        <w:spacing w:line="360" w:lineRule="auto"/>
        <w:ind w:firstLine="480" w:firstLineChars="200"/>
        <w:contextualSpacing/>
        <w:rPr>
          <w:rFonts w:ascii="仿宋" w:hAnsi="仿宋" w:cs="Arial"/>
          <w:kern w:val="0"/>
        </w:rPr>
      </w:pPr>
      <w:r>
        <w:rPr>
          <w:rFonts w:hint="eastAsia" w:ascii="仿宋" w:hAnsi="仿宋" w:cs="Arial"/>
          <w:kern w:val="0"/>
        </w:rPr>
        <w:t>期货公司应当建立交易指令委托管理制度，并与客户就委托方式和程序进行约定。期货公司应当按照客户委托下达交易指令，不得未经客户委托或者未按客户委托内容，擅自进行期货交易。期货公司从业人员不得未经过其依法设立的营业场所私下接受客户委托进行期货交易。</w:t>
      </w:r>
    </w:p>
    <w:p>
      <w:pPr>
        <w:widowControl/>
        <w:spacing w:line="360" w:lineRule="auto"/>
        <w:ind w:firstLine="480" w:firstLineChars="200"/>
        <w:contextualSpacing/>
        <w:rPr>
          <w:rFonts w:ascii="仿宋" w:hAnsi="仿宋" w:cs="Arial"/>
          <w:kern w:val="0"/>
        </w:rPr>
      </w:pPr>
      <w:r>
        <w:rPr>
          <w:rFonts w:hint="eastAsia" w:ascii="仿宋" w:hAnsi="仿宋" w:cs="Arial"/>
          <w:kern w:val="0"/>
        </w:rPr>
        <w:t>以书面方式下达交易指令的，客户应当填写书面交易指令单；以电话方式下达交易指令的，期货公司应当同步录音；以计算机、互联网等委托方式下达交易指令的，期货公司应当以适当方式保存。以互联网方式下达交易指令的，期货公司应当对互联网交易风险进行特别提示。</w:t>
      </w:r>
    </w:p>
    <w:p>
      <w:pPr>
        <w:widowControl/>
        <w:spacing w:line="360" w:lineRule="auto"/>
        <w:ind w:firstLine="480" w:firstLineChars="200"/>
        <w:contextualSpacing/>
        <w:rPr>
          <w:rFonts w:ascii="仿宋" w:hAnsi="仿宋" w:cs="Arial"/>
          <w:kern w:val="0"/>
        </w:rPr>
      </w:pPr>
      <w:r>
        <w:rPr>
          <w:rFonts w:hint="eastAsia" w:ascii="仿宋" w:hAnsi="仿宋" w:cs="Arial"/>
          <w:kern w:val="0"/>
        </w:rPr>
        <w:t>第五十七条 期货公司应当在每日结算后为客户提供交易结算报告，并提示客户可以通过期货保证金安全存管监控机构进行查询。客户应当按照期货经纪合同约定方式对交易结算报告内容进行确认。</w:t>
      </w:r>
    </w:p>
    <w:p>
      <w:pPr>
        <w:widowControl/>
        <w:spacing w:line="360" w:lineRule="auto"/>
        <w:ind w:firstLine="480" w:firstLineChars="200"/>
        <w:contextualSpacing/>
        <w:rPr>
          <w:rFonts w:ascii="仿宋" w:hAnsi="仿宋" w:cs="Arial"/>
          <w:kern w:val="0"/>
        </w:rPr>
      </w:pPr>
      <w:r>
        <w:rPr>
          <w:rFonts w:hint="eastAsia" w:ascii="仿宋" w:hAnsi="仿宋" w:cs="Arial"/>
          <w:kern w:val="0"/>
        </w:rPr>
        <w:t>客户对交易结算报告有异议的，应当在期货经纪合同约定的时间内以书面方式提出，期货公司应当在约定时间内进行核实。客户未在约定时间内提出异议的，视为对交易结算报告内容的确认。</w:t>
      </w:r>
    </w:p>
    <w:p>
      <w:pPr>
        <w:pStyle w:val="4"/>
        <w:spacing w:before="0" w:after="0" w:line="360" w:lineRule="auto"/>
        <w:rPr>
          <w:szCs w:val="24"/>
        </w:rPr>
      </w:pPr>
      <w:bookmarkStart w:id="426" w:name="_Toc400554017"/>
      <w:bookmarkStart w:id="427" w:name="_Toc410115196"/>
      <w:bookmarkStart w:id="428" w:name="_Toc3896813"/>
      <w:r>
        <w:rPr>
          <w:rFonts w:hint="eastAsia" w:ascii="仿宋" w:hAnsi="仿宋"/>
          <w:kern w:val="0"/>
          <w:szCs w:val="24"/>
        </w:rPr>
        <w:t>（二）</w:t>
      </w:r>
      <w:r>
        <w:rPr>
          <w:rFonts w:hint="eastAsia"/>
          <w:szCs w:val="24"/>
        </w:rPr>
        <w:t>《期货市场客户开户管理规定》</w:t>
      </w:r>
      <w:bookmarkEnd w:id="426"/>
      <w:bookmarkEnd w:id="427"/>
      <w:bookmarkEnd w:id="428"/>
    </w:p>
    <w:p>
      <w:pPr>
        <w:tabs>
          <w:tab w:val="left" w:pos="2145"/>
        </w:tabs>
        <w:spacing w:line="360" w:lineRule="auto"/>
        <w:ind w:firstLine="480" w:firstLineChars="200"/>
        <w:rPr>
          <w:rFonts w:ascii="仿宋" w:hAnsi="仿宋"/>
        </w:rPr>
      </w:pPr>
      <w:r>
        <w:rPr>
          <w:rFonts w:hint="eastAsia" w:ascii="仿宋" w:hAnsi="仿宋"/>
        </w:rPr>
        <w:t>第八条 客户开户应当符合《期货交易管理条例》及中国证监会有关规定，并遵守以下实名制要求：</w:t>
      </w:r>
    </w:p>
    <w:p>
      <w:pPr>
        <w:tabs>
          <w:tab w:val="left" w:pos="2145"/>
        </w:tabs>
        <w:spacing w:line="360" w:lineRule="auto"/>
        <w:ind w:firstLine="480" w:firstLineChars="200"/>
        <w:rPr>
          <w:rFonts w:ascii="仿宋" w:hAnsi="仿宋"/>
        </w:rPr>
      </w:pPr>
      <w:r>
        <w:rPr>
          <w:rFonts w:hint="eastAsia" w:ascii="仿宋" w:hAnsi="仿宋"/>
        </w:rPr>
        <w:t>（一）个人客户应当本人亲自办理开户手续，签署开户资料，不得委托代理人代为办理开户手续。除中国证监会另有规定外，个人客户的有效身份证明文件为中华人民共和国居民身份证；</w:t>
      </w:r>
    </w:p>
    <w:p>
      <w:pPr>
        <w:tabs>
          <w:tab w:val="left" w:pos="2145"/>
        </w:tabs>
        <w:spacing w:line="360" w:lineRule="auto"/>
        <w:ind w:firstLine="480" w:firstLineChars="200"/>
        <w:rPr>
          <w:rFonts w:ascii="仿宋" w:hAnsi="仿宋"/>
        </w:rPr>
      </w:pPr>
      <w:r>
        <w:rPr>
          <w:rFonts w:hint="eastAsia" w:ascii="仿宋" w:hAnsi="仿宋"/>
        </w:rPr>
        <w:t>（二）单位客户应当出具单位客户的授权委托书、代理人的身份证和其他开户证件。除中国证监会另有规定外，一般单位客户的有效身份证明文件为组织机构代码证和营业执照；证券公司、基金管理公司、信托公司和其他金融机构，以及社会保障类公司、合格境外机构投资者等法律、行政法规和规章规定的需要资产分户管理的特殊单位客户，其有效身份证明文件由监控中心另行规定；</w:t>
      </w:r>
    </w:p>
    <w:p>
      <w:pPr>
        <w:tabs>
          <w:tab w:val="left" w:pos="2145"/>
        </w:tabs>
        <w:spacing w:line="360" w:lineRule="auto"/>
        <w:ind w:firstLine="480" w:firstLineChars="200"/>
        <w:rPr>
          <w:rFonts w:ascii="仿宋" w:hAnsi="仿宋"/>
        </w:rPr>
      </w:pPr>
      <w:r>
        <w:rPr>
          <w:rFonts w:hint="eastAsia" w:ascii="仿宋" w:hAnsi="仿宋"/>
        </w:rPr>
        <w:t>（三）期货经纪合同、期货结算账户中客户姓名或者名称与其有效身份证明文件中的姓名或者名称一致；</w:t>
      </w:r>
    </w:p>
    <w:p>
      <w:pPr>
        <w:tabs>
          <w:tab w:val="left" w:pos="2145"/>
        </w:tabs>
        <w:spacing w:line="360" w:lineRule="auto"/>
        <w:ind w:firstLine="480" w:firstLineChars="200"/>
        <w:rPr>
          <w:rFonts w:ascii="仿宋" w:hAnsi="仿宋"/>
        </w:rPr>
      </w:pPr>
      <w:r>
        <w:rPr>
          <w:rFonts w:hint="eastAsia" w:ascii="仿宋" w:hAnsi="仿宋"/>
        </w:rPr>
        <w:t>（四）在期货经纪合同及其他开户资料中真实、完整、准确地填写客户资料信息。</w:t>
      </w:r>
    </w:p>
    <w:p>
      <w:pPr>
        <w:tabs>
          <w:tab w:val="left" w:pos="2145"/>
        </w:tabs>
        <w:spacing w:line="360" w:lineRule="auto"/>
        <w:ind w:firstLine="480" w:firstLineChars="200"/>
        <w:rPr>
          <w:rFonts w:ascii="仿宋" w:hAnsi="仿宋"/>
        </w:rPr>
      </w:pPr>
      <w:r>
        <w:rPr>
          <w:rFonts w:hint="eastAsia" w:ascii="仿宋" w:hAnsi="仿宋"/>
        </w:rPr>
        <w:t>第十条 客户开户时，期货公司应当实时采集并保存客户以下影像资料：</w:t>
      </w:r>
    </w:p>
    <w:p>
      <w:pPr>
        <w:tabs>
          <w:tab w:val="left" w:pos="2145"/>
        </w:tabs>
        <w:spacing w:line="360" w:lineRule="auto"/>
        <w:ind w:firstLine="480" w:firstLineChars="200"/>
        <w:rPr>
          <w:rFonts w:ascii="仿宋" w:hAnsi="仿宋"/>
        </w:rPr>
      </w:pPr>
      <w:r>
        <w:rPr>
          <w:rFonts w:hint="eastAsia" w:ascii="仿宋" w:hAnsi="仿宋"/>
        </w:rPr>
        <w:t>（一）个人客户头部正面照和身份证正反面扫描件；</w:t>
      </w:r>
    </w:p>
    <w:p>
      <w:pPr>
        <w:tabs>
          <w:tab w:val="left" w:pos="2145"/>
        </w:tabs>
        <w:spacing w:line="360" w:lineRule="auto"/>
        <w:ind w:firstLine="480" w:firstLineChars="200"/>
        <w:rPr>
          <w:rFonts w:ascii="仿宋" w:hAnsi="仿宋"/>
        </w:rPr>
      </w:pPr>
      <w:r>
        <w:rPr>
          <w:rFonts w:hint="eastAsia" w:ascii="仿宋" w:hAnsi="仿宋"/>
        </w:rPr>
        <w:t>（二）单位客户开户代理人头部正面照、开户代理人身份证正反面扫描件、单位客户有效身份证明文件扫描件。</w:t>
      </w:r>
    </w:p>
    <w:p>
      <w:pPr>
        <w:tabs>
          <w:tab w:val="left" w:pos="2145"/>
        </w:tabs>
        <w:spacing w:line="360" w:lineRule="auto"/>
        <w:ind w:firstLine="480" w:firstLineChars="200"/>
        <w:rPr>
          <w:rFonts w:ascii="仿宋" w:hAnsi="仿宋"/>
        </w:rPr>
      </w:pPr>
      <w:r>
        <w:rPr>
          <w:rFonts w:hint="eastAsia" w:ascii="仿宋" w:hAnsi="仿宋"/>
        </w:rPr>
        <w:t>第十一条 证券公司依法接受期货公司委托协助办理开户手续的，应当按照本规定的要求对照核实客户真实身份，核对客户期货结算账户户名与其有效身份证明文件中姓名或者名称一致，采集并留存客户影像资料，并随同其他开户资料一并提交期货公司审核开户和存档。</w:t>
      </w:r>
    </w:p>
    <w:p>
      <w:pPr>
        <w:tabs>
          <w:tab w:val="left" w:pos="2145"/>
        </w:tabs>
        <w:spacing w:line="360" w:lineRule="auto"/>
        <w:ind w:firstLine="480" w:firstLineChars="200"/>
        <w:rPr>
          <w:rFonts w:ascii="仿宋" w:hAnsi="仿宋"/>
        </w:rPr>
      </w:pPr>
      <w:r>
        <w:rPr>
          <w:rFonts w:hint="eastAsia" w:ascii="仿宋" w:hAnsi="仿宋"/>
        </w:rPr>
        <w:t>第十二条 期货公司应当按照监控中心规定的格式要求采集并以电子文档方式在公司总部集中统一保存客户影像资料，并随其他开户材料一并存档备查。各营业部也应当保存所办理的客户开户资料及其影像资料。</w:t>
      </w:r>
    </w:p>
    <w:p>
      <w:pPr>
        <w:tabs>
          <w:tab w:val="left" w:pos="2145"/>
        </w:tabs>
        <w:spacing w:line="360" w:lineRule="auto"/>
        <w:ind w:firstLine="480" w:firstLineChars="200"/>
        <w:rPr>
          <w:rFonts w:ascii="仿宋" w:hAnsi="仿宋"/>
        </w:rPr>
      </w:pPr>
      <w:r>
        <w:rPr>
          <w:rFonts w:hint="eastAsia" w:ascii="仿宋" w:hAnsi="仿宋"/>
        </w:rPr>
        <w:t>第十三条 期货公司不得与不符合实名制要求的客户签署期货经纪合同，也不得为未签订期货经纪合同的客户申请交易编码。</w:t>
      </w:r>
    </w:p>
    <w:p>
      <w:pPr>
        <w:tabs>
          <w:tab w:val="left" w:pos="2145"/>
        </w:tabs>
        <w:spacing w:line="360" w:lineRule="auto"/>
        <w:ind w:firstLine="480" w:firstLineChars="200"/>
        <w:rPr>
          <w:rFonts w:ascii="仿宋" w:hAnsi="仿宋"/>
        </w:rPr>
      </w:pPr>
      <w:r>
        <w:rPr>
          <w:rFonts w:hint="eastAsia" w:ascii="仿宋" w:hAnsi="仿宋"/>
        </w:rPr>
        <w:t>第十四条 期货公司为客户申请交易编码，应当向监控中心提交客户交易编码申请。客户交易编码申请填写内容应当完整并与期货经纪合同所记载的内容一致。</w:t>
      </w:r>
    </w:p>
    <w:p>
      <w:pPr>
        <w:tabs>
          <w:tab w:val="left" w:pos="2145"/>
        </w:tabs>
        <w:spacing w:line="360" w:lineRule="auto"/>
        <w:ind w:firstLine="480" w:firstLineChars="200"/>
        <w:rPr>
          <w:rFonts w:ascii="仿宋" w:hAnsi="仿宋"/>
        </w:rPr>
      </w:pPr>
      <w:r>
        <w:rPr>
          <w:rFonts w:hint="eastAsia" w:ascii="仿宋" w:hAnsi="仿宋"/>
        </w:rPr>
        <w:t>第十五条 期货公司为单位客户申请交易编码时，应当按照规定要求向监控中心提交该单位客户的有效身份证明文件扫描件。</w:t>
      </w:r>
    </w:p>
    <w:p>
      <w:pPr>
        <w:tabs>
          <w:tab w:val="left" w:pos="2145"/>
        </w:tabs>
        <w:spacing w:line="360" w:lineRule="auto"/>
        <w:ind w:firstLine="480" w:firstLineChars="200"/>
        <w:rPr>
          <w:rFonts w:ascii="仿宋" w:hAnsi="仿宋"/>
        </w:rPr>
      </w:pPr>
      <w:r>
        <w:rPr>
          <w:rFonts w:hint="eastAsia" w:ascii="仿宋" w:hAnsi="仿宋"/>
        </w:rPr>
        <w:t>第十六条 期货公司应当按照规定要求定期向监控中心提交客户的以下资料：</w:t>
      </w:r>
    </w:p>
    <w:p>
      <w:pPr>
        <w:tabs>
          <w:tab w:val="left" w:pos="2145"/>
        </w:tabs>
        <w:spacing w:line="360" w:lineRule="auto"/>
        <w:ind w:firstLine="480" w:firstLineChars="200"/>
        <w:rPr>
          <w:rFonts w:ascii="仿宋" w:hAnsi="仿宋"/>
        </w:rPr>
      </w:pPr>
      <w:r>
        <w:rPr>
          <w:rFonts w:hint="eastAsia" w:ascii="仿宋" w:hAnsi="仿宋"/>
        </w:rPr>
        <w:t>（一）个人客户的头部正面照和身份证正反面扫描件；</w:t>
      </w:r>
    </w:p>
    <w:p>
      <w:pPr>
        <w:tabs>
          <w:tab w:val="left" w:pos="2145"/>
        </w:tabs>
        <w:spacing w:line="360" w:lineRule="auto"/>
        <w:ind w:firstLine="480" w:firstLineChars="200"/>
        <w:rPr>
          <w:rFonts w:ascii="仿宋" w:hAnsi="仿宋"/>
        </w:rPr>
      </w:pPr>
      <w:r>
        <w:rPr>
          <w:rFonts w:hint="eastAsia" w:ascii="仿宋" w:hAnsi="仿宋"/>
        </w:rPr>
        <w:t>（二）单位客户的开户代理人头部正面照和身份证正反面扫描件。</w:t>
      </w:r>
    </w:p>
    <w:p>
      <w:pPr>
        <w:tabs>
          <w:tab w:val="left" w:pos="2145"/>
        </w:tabs>
        <w:spacing w:line="360" w:lineRule="auto"/>
        <w:ind w:firstLine="480" w:firstLineChars="200"/>
        <w:rPr>
          <w:rFonts w:ascii="仿宋" w:hAnsi="仿宋"/>
        </w:rPr>
      </w:pPr>
      <w:r>
        <w:rPr>
          <w:rFonts w:hint="eastAsia" w:ascii="仿宋" w:hAnsi="仿宋"/>
        </w:rPr>
        <w:t>第十七条 监控中心应当按以下标准对期货公司提交的客户交易编码申请表及其他相关资料进行复核：</w:t>
      </w:r>
    </w:p>
    <w:p>
      <w:pPr>
        <w:tabs>
          <w:tab w:val="left" w:pos="2145"/>
        </w:tabs>
        <w:spacing w:line="360" w:lineRule="auto"/>
        <w:ind w:firstLine="480" w:firstLineChars="200"/>
        <w:rPr>
          <w:rFonts w:ascii="仿宋" w:hAnsi="仿宋"/>
        </w:rPr>
      </w:pPr>
      <w:r>
        <w:rPr>
          <w:rFonts w:hint="eastAsia" w:ascii="仿宋" w:hAnsi="仿宋"/>
        </w:rPr>
        <w:t>（一）客户交易编码申请表内容完整性、格式正确性；</w:t>
      </w:r>
    </w:p>
    <w:p>
      <w:pPr>
        <w:tabs>
          <w:tab w:val="left" w:pos="2145"/>
        </w:tabs>
        <w:spacing w:line="360" w:lineRule="auto"/>
        <w:ind w:firstLine="480" w:firstLineChars="200"/>
        <w:rPr>
          <w:rFonts w:ascii="仿宋" w:hAnsi="仿宋"/>
        </w:rPr>
      </w:pPr>
      <w:r>
        <w:rPr>
          <w:rFonts w:hint="eastAsia" w:ascii="仿宋" w:hAnsi="仿宋"/>
        </w:rPr>
        <w:t>（二）个人客户姓名和身份证号码与全国公民身份信息查询服务系统反馈结果的一致性；</w:t>
      </w:r>
    </w:p>
    <w:p>
      <w:pPr>
        <w:tabs>
          <w:tab w:val="left" w:pos="2145"/>
        </w:tabs>
        <w:spacing w:line="360" w:lineRule="auto"/>
        <w:ind w:firstLine="480" w:firstLineChars="200"/>
        <w:rPr>
          <w:rFonts w:ascii="仿宋" w:hAnsi="仿宋"/>
        </w:rPr>
      </w:pPr>
      <w:r>
        <w:rPr>
          <w:rFonts w:hint="eastAsia" w:ascii="仿宋" w:hAnsi="仿宋"/>
        </w:rPr>
        <w:t>（三）一般单位客户名称和组织机构代码证号码与全国组织机构代码管理中心反馈结果的一致性；</w:t>
      </w:r>
    </w:p>
    <w:p>
      <w:pPr>
        <w:tabs>
          <w:tab w:val="left" w:pos="2145"/>
        </w:tabs>
        <w:spacing w:line="360" w:lineRule="auto"/>
        <w:ind w:firstLine="480" w:firstLineChars="200"/>
        <w:rPr>
          <w:rFonts w:ascii="仿宋" w:hAnsi="仿宋"/>
        </w:rPr>
      </w:pPr>
      <w:r>
        <w:rPr>
          <w:rFonts w:hint="eastAsia" w:ascii="仿宋" w:hAnsi="仿宋"/>
        </w:rPr>
        <w:t>（四）客户姓名或者名称与其期货结算账户户名的一致性；</w:t>
      </w:r>
    </w:p>
    <w:p>
      <w:pPr>
        <w:tabs>
          <w:tab w:val="left" w:pos="2145"/>
        </w:tabs>
        <w:spacing w:line="360" w:lineRule="auto"/>
        <w:ind w:firstLine="480" w:firstLineChars="200"/>
        <w:rPr>
          <w:rFonts w:ascii="仿宋" w:hAnsi="仿宋"/>
        </w:rPr>
      </w:pPr>
      <w:r>
        <w:rPr>
          <w:rFonts w:hint="eastAsia" w:ascii="仿宋" w:hAnsi="仿宋"/>
        </w:rPr>
        <w:t>（五）其他应当复核的内容。</w:t>
      </w:r>
    </w:p>
    <w:p>
      <w:pPr>
        <w:tabs>
          <w:tab w:val="left" w:pos="2145"/>
        </w:tabs>
        <w:spacing w:line="360" w:lineRule="auto"/>
        <w:ind w:firstLine="480" w:firstLineChars="200"/>
        <w:rPr>
          <w:rFonts w:ascii="仿宋" w:hAnsi="仿宋"/>
        </w:rPr>
      </w:pPr>
      <w:r>
        <w:rPr>
          <w:rFonts w:hint="eastAsia" w:ascii="仿宋" w:hAnsi="仿宋"/>
        </w:rPr>
        <w:t>第十八条 监控中心在复核中发现以下情况之一的，监控中心应当退回客户交易编码申请，并告知期货公司：</w:t>
      </w:r>
    </w:p>
    <w:p>
      <w:pPr>
        <w:tabs>
          <w:tab w:val="left" w:pos="2145"/>
        </w:tabs>
        <w:spacing w:line="360" w:lineRule="auto"/>
        <w:ind w:firstLine="480" w:firstLineChars="200"/>
        <w:rPr>
          <w:rFonts w:ascii="仿宋" w:hAnsi="仿宋"/>
        </w:rPr>
      </w:pPr>
      <w:r>
        <w:rPr>
          <w:rFonts w:hint="eastAsia" w:ascii="仿宋" w:hAnsi="仿宋"/>
        </w:rPr>
        <w:t>（一）客户资料不符合实名制要求；</w:t>
      </w:r>
    </w:p>
    <w:p>
      <w:pPr>
        <w:tabs>
          <w:tab w:val="left" w:pos="2145"/>
        </w:tabs>
        <w:spacing w:line="360" w:lineRule="auto"/>
        <w:ind w:firstLine="480" w:firstLineChars="200"/>
        <w:rPr>
          <w:rFonts w:ascii="仿宋" w:hAnsi="仿宋"/>
        </w:rPr>
      </w:pPr>
      <w:r>
        <w:rPr>
          <w:rFonts w:hint="eastAsia" w:ascii="仿宋" w:hAnsi="仿宋"/>
        </w:rPr>
        <w:t>（二）客户交易编码申请表及相关资料内容不完整、格式不正确；</w:t>
      </w:r>
    </w:p>
    <w:p>
      <w:pPr>
        <w:tabs>
          <w:tab w:val="left" w:pos="2145"/>
        </w:tabs>
        <w:spacing w:line="360" w:lineRule="auto"/>
        <w:ind w:firstLine="480" w:firstLineChars="200"/>
        <w:rPr>
          <w:rFonts w:ascii="仿宋" w:hAnsi="仿宋"/>
        </w:rPr>
      </w:pPr>
      <w:r>
        <w:rPr>
          <w:rFonts w:hint="eastAsia" w:ascii="仿宋" w:hAnsi="仿宋"/>
        </w:rPr>
        <w:t>（三）中国证监会规定的其他情形。</w:t>
      </w:r>
    </w:p>
    <w:p>
      <w:pPr>
        <w:tabs>
          <w:tab w:val="left" w:pos="2145"/>
        </w:tabs>
        <w:spacing w:line="360" w:lineRule="auto"/>
        <w:ind w:firstLine="480" w:firstLineChars="200"/>
        <w:rPr>
          <w:rFonts w:ascii="仿宋" w:hAnsi="仿宋"/>
        </w:rPr>
      </w:pPr>
      <w:r>
        <w:rPr>
          <w:rFonts w:hint="eastAsia" w:ascii="仿宋" w:hAnsi="仿宋"/>
        </w:rPr>
        <w:t>第十九条 监控中心应当将当日通过复核的客户交易编码申请资料转发给相关期货交易所。</w:t>
      </w:r>
    </w:p>
    <w:p>
      <w:pPr>
        <w:tabs>
          <w:tab w:val="left" w:pos="2145"/>
        </w:tabs>
        <w:spacing w:line="360" w:lineRule="auto"/>
        <w:ind w:firstLine="480" w:firstLineChars="200"/>
        <w:rPr>
          <w:rFonts w:ascii="仿宋" w:hAnsi="仿宋"/>
        </w:rPr>
      </w:pPr>
      <w:r>
        <w:rPr>
          <w:rFonts w:hint="eastAsia" w:ascii="仿宋" w:hAnsi="仿宋"/>
        </w:rPr>
        <w:t>第二十条 期货交易所应当将客户交易编码申请的处理结果发送监控中心，由监控中心当日反馈给期货公司。</w:t>
      </w:r>
    </w:p>
    <w:p>
      <w:pPr>
        <w:tabs>
          <w:tab w:val="left" w:pos="2145"/>
        </w:tabs>
        <w:spacing w:line="360" w:lineRule="auto"/>
        <w:ind w:firstLine="480" w:firstLineChars="200"/>
        <w:rPr>
          <w:rFonts w:ascii="仿宋" w:hAnsi="仿宋"/>
        </w:rPr>
      </w:pPr>
      <w:r>
        <w:rPr>
          <w:rFonts w:hint="eastAsia" w:ascii="仿宋" w:hAnsi="仿宋"/>
        </w:rPr>
        <w:t xml:space="preserve">第二十一条 当日分配的客户交易编码，期货交易所应当于下一交易日允许客户使用。 </w:t>
      </w:r>
    </w:p>
    <w:p>
      <w:pPr>
        <w:tabs>
          <w:tab w:val="left" w:pos="2145"/>
        </w:tabs>
        <w:spacing w:line="360" w:lineRule="auto"/>
        <w:ind w:firstLine="480" w:firstLineChars="200"/>
        <w:rPr>
          <w:rFonts w:ascii="仿宋" w:hAnsi="仿宋"/>
        </w:rPr>
      </w:pPr>
      <w:r>
        <w:rPr>
          <w:rFonts w:hint="eastAsia" w:ascii="仿宋" w:hAnsi="仿宋"/>
        </w:rPr>
        <w:t>第二十二条 期货公司修改与申请交易编码相关的客户资料，应当向监控中心提交修改申请，申请修改的内容应当与期货经纪合同中客户资料保持一致。</w:t>
      </w:r>
    </w:p>
    <w:p>
      <w:pPr>
        <w:tabs>
          <w:tab w:val="left" w:pos="2145"/>
        </w:tabs>
        <w:spacing w:line="360" w:lineRule="auto"/>
        <w:ind w:firstLine="480" w:firstLineChars="200"/>
        <w:rPr>
          <w:rFonts w:ascii="仿宋" w:hAnsi="仿宋"/>
        </w:rPr>
      </w:pPr>
      <w:r>
        <w:rPr>
          <w:rFonts w:hint="eastAsia" w:ascii="仿宋" w:hAnsi="仿宋"/>
        </w:rPr>
        <w:t>第二十三条 期货公司申请对客户姓名或者名称、客户有效身份证明文件号码、客户期货结算账户户名进行修改的，监控中心重新按本规定第十七条进行复核。通过复核的，监控中心将修改后的资料转发相关期货交易所和期货公司并由其进行相应处理。</w:t>
      </w:r>
    </w:p>
    <w:p>
      <w:pPr>
        <w:tabs>
          <w:tab w:val="left" w:pos="2145"/>
        </w:tabs>
        <w:spacing w:line="360" w:lineRule="auto"/>
        <w:ind w:firstLine="480" w:firstLineChars="200"/>
        <w:rPr>
          <w:rFonts w:ascii="仿宋" w:hAnsi="仿宋"/>
        </w:rPr>
      </w:pPr>
      <w:r>
        <w:rPr>
          <w:rFonts w:hint="eastAsia" w:ascii="仿宋" w:hAnsi="仿宋"/>
        </w:rPr>
        <w:t>第二十四条 期货公司申请对客户姓名或者名称、客户有效身份证明文件号码、客户期货结算账户户名之外的客户资料进行修改的，应当指明修改申请拟提交的期货交易所，监控中心对修改后客户资料内容的完整性、格式正确性进行复核，并将通过复核的申请转发相关期货交易所。期货交易所根据其业务规则检查后，向监控中心反馈修改申请的处理结果，由监控中心反馈给期货公司。</w:t>
      </w:r>
    </w:p>
    <w:p>
      <w:pPr>
        <w:tabs>
          <w:tab w:val="left" w:pos="2145"/>
        </w:tabs>
        <w:spacing w:line="360" w:lineRule="auto"/>
        <w:ind w:firstLine="480" w:firstLineChars="200"/>
        <w:rPr>
          <w:rFonts w:ascii="仿宋" w:hAnsi="仿宋"/>
        </w:rPr>
      </w:pPr>
      <w:r>
        <w:rPr>
          <w:rFonts w:hint="eastAsia" w:ascii="仿宋" w:hAnsi="仿宋"/>
        </w:rPr>
        <w:t>第二十五条 监控中心和期货交易所在管理中发现客户资料错误的，应当统一由监控中心通知期货公司，由期货公司登录统一开户系统进行修改。</w:t>
      </w:r>
    </w:p>
    <w:p>
      <w:pPr>
        <w:tabs>
          <w:tab w:val="left" w:pos="2145"/>
        </w:tabs>
        <w:spacing w:line="360" w:lineRule="auto"/>
        <w:ind w:firstLine="480" w:firstLineChars="200"/>
        <w:rPr>
          <w:rFonts w:ascii="仿宋" w:hAnsi="仿宋"/>
        </w:rPr>
      </w:pPr>
      <w:r>
        <w:rPr>
          <w:rFonts w:hint="eastAsia" w:ascii="仿宋" w:hAnsi="仿宋"/>
        </w:rPr>
        <w:t>第二十六条 期货公司应当登录监控中心统一开户系统办理客户交易编码的注销。</w:t>
      </w:r>
    </w:p>
    <w:p>
      <w:pPr>
        <w:tabs>
          <w:tab w:val="left" w:pos="2145"/>
        </w:tabs>
        <w:spacing w:line="360" w:lineRule="auto"/>
        <w:ind w:firstLine="480" w:firstLineChars="200"/>
        <w:rPr>
          <w:rFonts w:ascii="仿宋" w:hAnsi="仿宋"/>
        </w:rPr>
      </w:pPr>
      <w:r>
        <w:rPr>
          <w:rFonts w:hint="eastAsia" w:ascii="仿宋" w:hAnsi="仿宋"/>
        </w:rPr>
        <w:t>第二十七条 监控中心接到期货公司的客户交易编码注销申请后，应当于当日转发给相关期货交易所。</w:t>
      </w:r>
    </w:p>
    <w:p>
      <w:pPr>
        <w:tabs>
          <w:tab w:val="left" w:pos="2145"/>
        </w:tabs>
        <w:spacing w:line="360" w:lineRule="auto"/>
        <w:ind w:firstLine="480" w:firstLineChars="200"/>
        <w:rPr>
          <w:rFonts w:ascii="仿宋" w:hAnsi="仿宋"/>
        </w:rPr>
      </w:pPr>
      <w:r>
        <w:rPr>
          <w:rFonts w:hint="eastAsia" w:ascii="仿宋" w:hAnsi="仿宋"/>
        </w:rPr>
        <w:t>第二十八条 期货交易所应当将期货公司客户交易编码注销申请处理结果及时反馈监控中心，监控中心据此反馈期货公司。</w:t>
      </w:r>
    </w:p>
    <w:p>
      <w:pPr>
        <w:tabs>
          <w:tab w:val="left" w:pos="2145"/>
        </w:tabs>
        <w:spacing w:line="360" w:lineRule="auto"/>
        <w:ind w:firstLine="480" w:firstLineChars="200"/>
        <w:rPr>
          <w:rFonts w:ascii="仿宋" w:hAnsi="仿宋"/>
        </w:rPr>
      </w:pPr>
      <w:r>
        <w:rPr>
          <w:rFonts w:hint="eastAsia" w:ascii="仿宋" w:hAnsi="仿宋"/>
        </w:rPr>
        <w:t xml:space="preserve">第二十九条 期货交易所注销客户交易编码的，应当于注销当日通知监控中心，监控中心据此通知期货公司。 </w:t>
      </w:r>
    </w:p>
    <w:p>
      <w:pPr>
        <w:tabs>
          <w:tab w:val="left" w:pos="2145"/>
        </w:tabs>
        <w:spacing w:line="360" w:lineRule="auto"/>
        <w:ind w:firstLine="480" w:firstLineChars="200"/>
        <w:rPr>
          <w:rFonts w:ascii="仿宋" w:hAnsi="仿宋"/>
        </w:rPr>
      </w:pPr>
      <w:r>
        <w:rPr>
          <w:rFonts w:hint="eastAsia" w:ascii="仿宋" w:hAnsi="仿宋"/>
        </w:rPr>
        <w:t>第三十条 期货公司在交易结算系统中维护的客户资料应当与报送统一开户系统的客户资料保持一致。</w:t>
      </w:r>
    </w:p>
    <w:p>
      <w:pPr>
        <w:tabs>
          <w:tab w:val="left" w:pos="2145"/>
        </w:tabs>
        <w:spacing w:line="360" w:lineRule="auto"/>
        <w:ind w:firstLine="480" w:firstLineChars="200"/>
        <w:rPr>
          <w:rFonts w:ascii="仿宋" w:hAnsi="仿宋"/>
        </w:rPr>
      </w:pPr>
      <w:r>
        <w:rPr>
          <w:rFonts w:hint="eastAsia" w:ascii="仿宋" w:hAnsi="仿宋"/>
        </w:rPr>
        <w:t>监控中心应当对期货公司报送保证金监控系统与统一开户系统的客户姓名或者名称、内部资金账户、期货结算账户和交易编码进行一致性复核。</w:t>
      </w:r>
    </w:p>
    <w:p>
      <w:pPr>
        <w:tabs>
          <w:tab w:val="left" w:pos="2145"/>
        </w:tabs>
        <w:spacing w:line="360" w:lineRule="auto"/>
        <w:ind w:firstLine="480" w:firstLineChars="200"/>
        <w:rPr>
          <w:rFonts w:ascii="仿宋" w:hAnsi="仿宋"/>
        </w:rPr>
      </w:pPr>
      <w:r>
        <w:rPr>
          <w:rFonts w:hint="eastAsia" w:ascii="仿宋" w:hAnsi="仿宋"/>
        </w:rPr>
        <w:t>第三十一条 监控中心应当根据统一开户系统，建立期货市场客户基本资料库。</w:t>
      </w:r>
    </w:p>
    <w:p>
      <w:pPr>
        <w:tabs>
          <w:tab w:val="left" w:pos="2145"/>
        </w:tabs>
        <w:spacing w:line="360" w:lineRule="auto"/>
        <w:ind w:firstLine="480" w:firstLineChars="200"/>
        <w:rPr>
          <w:rFonts w:ascii="仿宋" w:hAnsi="仿宋"/>
        </w:rPr>
      </w:pPr>
      <w:r>
        <w:rPr>
          <w:rFonts w:hint="eastAsia" w:ascii="仿宋" w:hAnsi="仿宋"/>
        </w:rPr>
        <w:t>客户姓名或者名称、有效身份证明文件号码和客户期货结算账户户名之外的客户信息，监控中心应当根据不同的期货交易所、期货公司分别维护。</w:t>
      </w:r>
    </w:p>
    <w:p>
      <w:pPr>
        <w:tabs>
          <w:tab w:val="left" w:pos="2145"/>
        </w:tabs>
        <w:spacing w:line="360" w:lineRule="auto"/>
        <w:ind w:firstLine="480" w:firstLineChars="200"/>
        <w:rPr>
          <w:rFonts w:ascii="仿宋" w:hAnsi="仿宋"/>
        </w:rPr>
      </w:pPr>
      <w:r>
        <w:rPr>
          <w:rFonts w:hint="eastAsia" w:ascii="仿宋" w:hAnsi="仿宋"/>
        </w:rPr>
        <w:t xml:space="preserve">第三十二条 期货交易所应当定期向监控中心核对客户资料。 </w:t>
      </w:r>
    </w:p>
    <w:p>
      <w:pPr>
        <w:pStyle w:val="3"/>
        <w:rPr>
          <w:sz w:val="24"/>
          <w:szCs w:val="24"/>
        </w:rPr>
      </w:pPr>
      <w:bookmarkStart w:id="429" w:name="_Toc399750571"/>
      <w:bookmarkStart w:id="430" w:name="_Toc400554018"/>
      <w:bookmarkStart w:id="431" w:name="_Toc410115197"/>
      <w:bookmarkStart w:id="432" w:name="_Toc3896814"/>
      <w:r>
        <w:rPr>
          <w:rFonts w:hint="eastAsia"/>
          <w:sz w:val="24"/>
          <w:szCs w:val="24"/>
        </w:rPr>
        <w:t>十二、关于资产管理业务</w:t>
      </w:r>
      <w:bookmarkEnd w:id="429"/>
      <w:bookmarkEnd w:id="430"/>
      <w:bookmarkEnd w:id="431"/>
      <w:bookmarkEnd w:id="432"/>
    </w:p>
    <w:p>
      <w:pPr>
        <w:pStyle w:val="4"/>
        <w:spacing w:before="0" w:after="0" w:line="360" w:lineRule="auto"/>
        <w:rPr>
          <w:rFonts w:ascii="仿宋" w:hAnsi="仿宋"/>
          <w:szCs w:val="24"/>
        </w:rPr>
      </w:pPr>
      <w:bookmarkStart w:id="433" w:name="_Toc3896815"/>
      <w:bookmarkStart w:id="434" w:name="_Toc400554019"/>
      <w:bookmarkStart w:id="435" w:name="_Toc410115198"/>
      <w:r>
        <w:rPr>
          <w:rFonts w:hint="eastAsia" w:ascii="仿宋" w:hAnsi="仿宋"/>
          <w:szCs w:val="24"/>
        </w:rPr>
        <w:t>（一）期货公司及从业人员从事资产管理业务的禁止性行为</w:t>
      </w:r>
      <w:bookmarkEnd w:id="433"/>
    </w:p>
    <w:p>
      <w:pPr>
        <w:spacing w:line="360" w:lineRule="auto"/>
        <w:ind w:firstLine="480" w:firstLineChars="200"/>
        <w:rPr>
          <w:rFonts w:ascii="仿宋" w:hAnsi="仿宋"/>
        </w:rPr>
      </w:pPr>
      <w:r>
        <w:rPr>
          <w:rFonts w:hint="eastAsia" w:ascii="仿宋" w:hAnsi="仿宋"/>
        </w:rPr>
        <w:t>依据：《期货公司监督管理办法》第六十八条</w:t>
      </w:r>
    </w:p>
    <w:p>
      <w:pPr>
        <w:spacing w:line="360" w:lineRule="auto"/>
        <w:ind w:firstLine="480" w:firstLineChars="200"/>
        <w:rPr>
          <w:rFonts w:ascii="仿宋" w:hAnsi="仿宋"/>
        </w:rPr>
      </w:pPr>
      <w:r>
        <w:rPr>
          <w:rFonts w:hint="eastAsia" w:ascii="仿宋" w:hAnsi="仿宋"/>
        </w:rPr>
        <w:t>第六十八条 期货公司及其从业人员从事资产管理业务，不得有下列行为：</w:t>
      </w:r>
    </w:p>
    <w:p>
      <w:pPr>
        <w:spacing w:line="360" w:lineRule="auto"/>
        <w:ind w:firstLine="480" w:firstLineChars="200"/>
        <w:rPr>
          <w:rFonts w:ascii="仿宋" w:hAnsi="仿宋"/>
        </w:rPr>
      </w:pPr>
      <w:r>
        <w:rPr>
          <w:rFonts w:hint="eastAsia" w:ascii="仿宋" w:hAnsi="仿宋"/>
        </w:rPr>
        <w:t>（一）以欺诈手段或者其他不当方式误导、诱导客户；</w:t>
      </w:r>
    </w:p>
    <w:p>
      <w:pPr>
        <w:spacing w:line="360" w:lineRule="auto"/>
        <w:ind w:firstLine="480" w:firstLineChars="200"/>
        <w:rPr>
          <w:rFonts w:ascii="仿宋" w:hAnsi="仿宋"/>
        </w:rPr>
      </w:pPr>
      <w:r>
        <w:rPr>
          <w:rFonts w:hint="eastAsia" w:ascii="仿宋" w:hAnsi="仿宋"/>
        </w:rPr>
        <w:t>（二）向客户做出保证其资产本金不受损失或者取得最低收益的承诺；</w:t>
      </w:r>
    </w:p>
    <w:p>
      <w:pPr>
        <w:spacing w:line="360" w:lineRule="auto"/>
        <w:ind w:firstLine="480" w:firstLineChars="200"/>
        <w:rPr>
          <w:rFonts w:ascii="仿宋" w:hAnsi="仿宋"/>
        </w:rPr>
      </w:pPr>
      <w:r>
        <w:rPr>
          <w:rFonts w:hint="eastAsia" w:ascii="仿宋" w:hAnsi="仿宋"/>
        </w:rPr>
        <w:t>（三）接受客户委托的初始资产低于中国证监会规定的最低限额；</w:t>
      </w:r>
    </w:p>
    <w:p>
      <w:pPr>
        <w:spacing w:line="360" w:lineRule="auto"/>
        <w:ind w:firstLine="480" w:firstLineChars="200"/>
        <w:rPr>
          <w:rFonts w:ascii="仿宋" w:hAnsi="仿宋"/>
        </w:rPr>
      </w:pPr>
      <w:r>
        <w:rPr>
          <w:rFonts w:hint="eastAsia" w:ascii="仿宋" w:hAnsi="仿宋"/>
        </w:rPr>
        <w:t>（四）占用、挪用客户委托资产；</w:t>
      </w:r>
    </w:p>
    <w:p>
      <w:pPr>
        <w:spacing w:line="360" w:lineRule="auto"/>
        <w:ind w:firstLine="480" w:firstLineChars="200"/>
        <w:rPr>
          <w:rFonts w:ascii="仿宋" w:hAnsi="仿宋"/>
        </w:rPr>
      </w:pPr>
      <w:r>
        <w:rPr>
          <w:rFonts w:hint="eastAsia" w:ascii="仿宋" w:hAnsi="仿宋"/>
        </w:rPr>
        <w:t>（五）以转移资产管理账户收益或者亏损为目的，在不同账户之间进行买卖，损害客户利益；</w:t>
      </w:r>
    </w:p>
    <w:p>
      <w:pPr>
        <w:spacing w:line="360" w:lineRule="auto"/>
        <w:ind w:firstLine="480" w:firstLineChars="200"/>
        <w:rPr>
          <w:rFonts w:ascii="仿宋" w:hAnsi="仿宋"/>
        </w:rPr>
      </w:pPr>
      <w:r>
        <w:rPr>
          <w:rFonts w:hint="eastAsia" w:ascii="仿宋" w:hAnsi="仿宋"/>
        </w:rPr>
        <w:t>（六）以获取佣金或者其他利益为目的，使用客户资产进行不必要的交易；</w:t>
      </w:r>
    </w:p>
    <w:p>
      <w:pPr>
        <w:spacing w:line="360" w:lineRule="auto"/>
        <w:ind w:firstLine="480" w:firstLineChars="200"/>
        <w:rPr>
          <w:rFonts w:ascii="仿宋" w:hAnsi="仿宋"/>
        </w:rPr>
      </w:pPr>
      <w:r>
        <w:rPr>
          <w:rFonts w:hint="eastAsia" w:ascii="仿宋" w:hAnsi="仿宋"/>
        </w:rPr>
        <w:t>（七）利用管理的客户资产为第三方谋取不正当利益，进行利益输送；</w:t>
      </w:r>
    </w:p>
    <w:p>
      <w:pPr>
        <w:spacing w:line="360" w:lineRule="auto"/>
        <w:ind w:firstLine="480" w:firstLineChars="200"/>
        <w:rPr>
          <w:rFonts w:ascii="仿宋" w:hAnsi="仿宋"/>
        </w:rPr>
      </w:pPr>
      <w:r>
        <w:rPr>
          <w:rFonts w:hint="eastAsia" w:ascii="仿宋" w:hAnsi="仿宋"/>
        </w:rPr>
        <w:t>（八）法律、行政法规以及中国证监会规定禁止的其他行为。</w:t>
      </w:r>
    </w:p>
    <w:p>
      <w:pPr>
        <w:spacing w:line="360" w:lineRule="auto"/>
        <w:ind w:firstLine="480" w:firstLineChars="200"/>
        <w:rPr>
          <w:rFonts w:ascii="仿宋" w:hAnsi="仿宋"/>
        </w:rPr>
      </w:pPr>
    </w:p>
    <w:p>
      <w:pPr>
        <w:pStyle w:val="4"/>
        <w:spacing w:before="0" w:after="0" w:line="360" w:lineRule="auto"/>
        <w:rPr>
          <w:rFonts w:ascii="仿宋" w:hAnsi="仿宋"/>
          <w:szCs w:val="24"/>
        </w:rPr>
      </w:pPr>
      <w:bookmarkStart w:id="436" w:name="_Toc3896816"/>
      <w:r>
        <w:rPr>
          <w:rFonts w:hint="eastAsia" w:ascii="仿宋" w:hAnsi="仿宋"/>
          <w:szCs w:val="24"/>
        </w:rPr>
        <w:t>（二）资产管理业务中关于资产管理计划运作的相关规定</w:t>
      </w:r>
      <w:bookmarkEnd w:id="436"/>
    </w:p>
    <w:p>
      <w:pPr>
        <w:spacing w:line="360" w:lineRule="auto"/>
        <w:ind w:firstLine="480" w:firstLineChars="200"/>
        <w:rPr>
          <w:rFonts w:ascii="仿宋" w:hAnsi="仿宋"/>
        </w:rPr>
      </w:pPr>
      <w:r>
        <w:rPr>
          <w:rFonts w:hint="eastAsia" w:ascii="仿宋" w:hAnsi="仿宋"/>
        </w:rPr>
        <w:t>依据：《关于规范金融机构资产管理业务的指导意见》</w:t>
      </w:r>
    </w:p>
    <w:p>
      <w:pPr>
        <w:spacing w:line="360" w:lineRule="auto"/>
        <w:ind w:firstLine="480" w:firstLineChars="200"/>
        <w:rPr>
          <w:rFonts w:ascii="仿宋" w:hAnsi="仿宋"/>
        </w:rPr>
      </w:pPr>
      <w:r>
        <w:rPr>
          <w:rFonts w:hint="eastAsia" w:ascii="仿宋" w:hAnsi="仿宋"/>
        </w:rPr>
        <w:t>第十五条 金融机构应当做到每只资产管理产品的资金单独管理、单独建账、单独核算，不得开展或者参与具有滚动发行、集合运作、分离定价特征的资金池业务。</w:t>
      </w:r>
    </w:p>
    <w:p>
      <w:pPr>
        <w:spacing w:line="360" w:lineRule="auto"/>
        <w:ind w:firstLine="480" w:firstLineChars="200"/>
        <w:rPr>
          <w:rFonts w:ascii="仿宋" w:hAnsi="仿宋"/>
        </w:rPr>
      </w:pPr>
      <w:r>
        <w:rPr>
          <w:rFonts w:hint="eastAsia" w:ascii="仿宋" w:hAnsi="仿宋"/>
        </w:rPr>
        <w:t>第十九条 经金融管理部门认定，存在以下行为的视为刚性兑付：</w:t>
      </w:r>
    </w:p>
    <w:p>
      <w:pPr>
        <w:spacing w:line="360" w:lineRule="auto"/>
        <w:ind w:firstLine="480" w:firstLineChars="200"/>
        <w:rPr>
          <w:rFonts w:ascii="仿宋" w:hAnsi="仿宋"/>
        </w:rPr>
      </w:pPr>
      <w:r>
        <w:rPr>
          <w:rFonts w:hint="eastAsia" w:ascii="仿宋" w:hAnsi="仿宋"/>
        </w:rPr>
        <w:t>（一）资产管理产品的发行人或者管理人违反真实公允确定净值原则，对产品进行保本保收益。</w:t>
      </w:r>
    </w:p>
    <w:p>
      <w:pPr>
        <w:spacing w:line="360" w:lineRule="auto"/>
        <w:ind w:firstLine="480" w:firstLineChars="200"/>
        <w:rPr>
          <w:rFonts w:ascii="仿宋" w:hAnsi="仿宋"/>
        </w:rPr>
      </w:pPr>
      <w:r>
        <w:rPr>
          <w:rFonts w:hint="eastAsia" w:ascii="仿宋" w:hAnsi="仿宋"/>
        </w:rPr>
        <w:t>（二）采取滚动发行等方式，使得资产管理产品的本金、收益、风险在不同投资者之间发生转移，实现产品保本保收益。</w:t>
      </w:r>
    </w:p>
    <w:p>
      <w:pPr>
        <w:spacing w:line="360" w:lineRule="auto"/>
        <w:ind w:firstLine="480" w:firstLineChars="200"/>
        <w:rPr>
          <w:rFonts w:ascii="仿宋" w:hAnsi="仿宋"/>
        </w:rPr>
      </w:pPr>
      <w:r>
        <w:rPr>
          <w:rFonts w:hint="eastAsia" w:ascii="仿宋" w:hAnsi="仿宋"/>
        </w:rPr>
        <w:t>（三）资产管理产品不能如期兑付或者兑付困难时，发行或者管理该产品的金融机构自行筹集资金偿付或者委托其他机构代为偿付。</w:t>
      </w:r>
    </w:p>
    <w:p>
      <w:pPr>
        <w:spacing w:line="360" w:lineRule="auto"/>
        <w:ind w:firstLine="480" w:firstLineChars="200"/>
        <w:rPr>
          <w:rFonts w:ascii="仿宋" w:hAnsi="仿宋"/>
        </w:rPr>
      </w:pPr>
      <w:r>
        <w:rPr>
          <w:rFonts w:hint="eastAsia" w:ascii="仿宋" w:hAnsi="仿宋"/>
        </w:rPr>
        <w:t>（四）金融管理部门认定的其他情形。</w:t>
      </w:r>
    </w:p>
    <w:p>
      <w:pPr>
        <w:spacing w:line="360" w:lineRule="auto"/>
        <w:ind w:firstLine="480" w:firstLineChars="200"/>
        <w:rPr>
          <w:rFonts w:ascii="仿宋" w:hAnsi="仿宋"/>
        </w:rPr>
      </w:pPr>
      <w:r>
        <w:rPr>
          <w:rFonts w:hint="eastAsia" w:ascii="仿宋" w:hAnsi="仿宋"/>
        </w:rPr>
        <w:t>第二十一条 公募产品和开放式私募产品不得进行份额分级。</w:t>
      </w:r>
    </w:p>
    <w:p>
      <w:pPr>
        <w:spacing w:line="360" w:lineRule="auto"/>
        <w:ind w:firstLine="480" w:firstLineChars="200"/>
        <w:rPr>
          <w:rFonts w:ascii="仿宋" w:hAnsi="仿宋"/>
        </w:rPr>
      </w:pPr>
      <w:r>
        <w:rPr>
          <w:rFonts w:hint="eastAsia" w:ascii="仿宋" w:hAnsi="仿宋"/>
        </w:rPr>
        <w:t>分级资产管理产品不得直接或者间接对优先级份额认购者提供保本保收益安排。</w:t>
      </w:r>
    </w:p>
    <w:p>
      <w:pPr>
        <w:spacing w:line="360" w:lineRule="auto"/>
        <w:ind w:firstLine="480" w:firstLineChars="200"/>
        <w:rPr>
          <w:rFonts w:ascii="仿宋" w:hAnsi="仿宋"/>
        </w:rPr>
      </w:pPr>
      <w:r>
        <w:rPr>
          <w:rFonts w:hint="eastAsia" w:ascii="仿宋" w:hAnsi="仿宋"/>
        </w:rPr>
        <w:t>依据：《证券期货经营机构私募资产管理业务管理办法》</w:t>
      </w:r>
    </w:p>
    <w:p>
      <w:pPr>
        <w:spacing w:line="360" w:lineRule="auto"/>
        <w:ind w:firstLine="480" w:firstLineChars="200"/>
        <w:rPr>
          <w:rFonts w:ascii="仿宋" w:hAnsi="仿宋"/>
        </w:rPr>
      </w:pPr>
      <w:r>
        <w:rPr>
          <w:rFonts w:hint="eastAsia" w:ascii="仿宋" w:hAnsi="仿宋"/>
        </w:rPr>
        <w:t>第四十二条 资产管理计划的总资产不得超过该计划净资产的200%，分级资产管理计划的总资产不得超过该计划净资产的140%。</w:t>
      </w:r>
    </w:p>
    <w:p>
      <w:pPr>
        <w:spacing w:line="360" w:lineRule="auto"/>
        <w:ind w:firstLine="480" w:firstLineChars="200"/>
        <w:rPr>
          <w:rFonts w:ascii="仿宋" w:hAnsi="仿宋"/>
        </w:rPr>
      </w:pPr>
      <w:r>
        <w:rPr>
          <w:rFonts w:hint="eastAsia" w:ascii="仿宋" w:hAnsi="仿宋"/>
        </w:rPr>
        <w:t>第四十四条 资产管理计划接受其他资产管理产品参与，证券期货经营机构应当切实履行主动管理责任，不得进行转委托，不得再投资除公募基金以外的其他资产管理产品。</w:t>
      </w:r>
    </w:p>
    <w:p>
      <w:pPr>
        <w:spacing w:line="360" w:lineRule="auto"/>
        <w:ind w:firstLine="480" w:firstLineChars="200"/>
        <w:rPr>
          <w:rFonts w:ascii="仿宋" w:hAnsi="仿宋"/>
        </w:rPr>
      </w:pPr>
      <w:r>
        <w:rPr>
          <w:rFonts w:hint="eastAsia" w:ascii="仿宋" w:hAnsi="仿宋"/>
        </w:rPr>
        <w:t>第四十五条 证券期货经营机构不得将其管理的资产管理计划资产投资于该机构管理的其他资产管理计划，依法设立的基金中基金资产管理计划以及中国证监会另有规定的除外。</w:t>
      </w:r>
    </w:p>
    <w:p>
      <w:pPr>
        <w:spacing w:line="360" w:lineRule="auto"/>
        <w:ind w:firstLine="480" w:firstLineChars="200"/>
        <w:rPr>
          <w:rFonts w:ascii="仿宋" w:hAnsi="仿宋"/>
        </w:rPr>
      </w:pPr>
      <w:r>
        <w:rPr>
          <w:rFonts w:hint="eastAsia" w:ascii="仿宋" w:hAnsi="仿宋"/>
        </w:rPr>
        <w:t xml:space="preserve">第四十六条 证券期货经营机构应当切实履行主动管理职责，不得有下列行为： </w:t>
      </w:r>
    </w:p>
    <w:p>
      <w:pPr>
        <w:spacing w:line="360" w:lineRule="auto"/>
        <w:ind w:firstLine="480" w:firstLineChars="200"/>
        <w:rPr>
          <w:rFonts w:ascii="仿宋" w:hAnsi="仿宋"/>
        </w:rPr>
      </w:pPr>
      <w:r>
        <w:rPr>
          <w:rFonts w:hint="eastAsia" w:ascii="仿宋" w:hAnsi="仿宋"/>
        </w:rPr>
        <w:t xml:space="preserve">（一）为其他机构、个人或者资产管理产品提供规避投资范围、杠杆约束等监管要求的通道服务； </w:t>
      </w:r>
    </w:p>
    <w:p>
      <w:pPr>
        <w:spacing w:line="360" w:lineRule="auto"/>
        <w:ind w:firstLine="480" w:firstLineChars="200"/>
        <w:rPr>
          <w:rFonts w:ascii="仿宋" w:hAnsi="仿宋"/>
        </w:rPr>
      </w:pPr>
      <w:r>
        <w:rPr>
          <w:rFonts w:hint="eastAsia" w:ascii="仿宋" w:hAnsi="仿宋"/>
        </w:rPr>
        <w:t xml:space="preserve">（二）在资产管理合同中约定由委托人或其指定第三方自行负责尽职调查或者投资运作； </w:t>
      </w:r>
    </w:p>
    <w:p>
      <w:pPr>
        <w:spacing w:line="360" w:lineRule="auto"/>
        <w:ind w:firstLine="480" w:firstLineChars="200"/>
        <w:rPr>
          <w:rFonts w:ascii="仿宋" w:hAnsi="仿宋"/>
        </w:rPr>
      </w:pPr>
      <w:r>
        <w:rPr>
          <w:rFonts w:hint="eastAsia" w:ascii="仿宋" w:hAnsi="仿宋"/>
        </w:rPr>
        <w:t xml:space="preserve">（三）在资产管理合同中约定由委托人或其指定第三方下达投资指令或者提供投资建议； </w:t>
      </w:r>
    </w:p>
    <w:p>
      <w:pPr>
        <w:spacing w:line="360" w:lineRule="auto"/>
        <w:ind w:firstLine="480" w:firstLineChars="200"/>
        <w:rPr>
          <w:rFonts w:ascii="仿宋" w:hAnsi="仿宋"/>
        </w:rPr>
      </w:pPr>
      <w:r>
        <w:rPr>
          <w:rFonts w:hint="eastAsia" w:ascii="仿宋" w:hAnsi="仿宋"/>
        </w:rPr>
        <w:t xml:space="preserve">（四）在资产管理合同中约定管理人根据委托人或其指定第三方的意见行使资产管理计划所持证券的权利； </w:t>
      </w:r>
    </w:p>
    <w:p>
      <w:pPr>
        <w:spacing w:line="360" w:lineRule="auto"/>
        <w:ind w:firstLine="480" w:firstLineChars="200"/>
        <w:rPr>
          <w:rFonts w:ascii="仿宋" w:hAnsi="仿宋"/>
        </w:rPr>
      </w:pPr>
      <w:r>
        <w:rPr>
          <w:rFonts w:hint="eastAsia" w:ascii="仿宋" w:hAnsi="仿宋"/>
        </w:rPr>
        <w:t>（五）法律、行政法规和中国证监会禁止的其他行为。</w:t>
      </w:r>
    </w:p>
    <w:p>
      <w:pPr>
        <w:spacing w:line="360" w:lineRule="auto"/>
        <w:ind w:firstLine="480" w:firstLineChars="200"/>
        <w:rPr>
          <w:rFonts w:ascii="仿宋" w:hAnsi="仿宋"/>
        </w:rPr>
      </w:pPr>
      <w:r>
        <w:rPr>
          <w:rFonts w:hint="eastAsia" w:ascii="仿宋" w:hAnsi="仿宋"/>
        </w:rPr>
        <w:t>依据：《证券期货经营机构私募资产管理计划运作管理规定》</w:t>
      </w:r>
    </w:p>
    <w:p>
      <w:pPr>
        <w:spacing w:line="360" w:lineRule="auto"/>
        <w:ind w:firstLine="480" w:firstLineChars="200"/>
        <w:rPr>
          <w:rFonts w:ascii="仿宋" w:hAnsi="仿宋"/>
        </w:rPr>
      </w:pPr>
      <w:r>
        <w:rPr>
          <w:rFonts w:hint="eastAsia" w:ascii="仿宋" w:hAnsi="仿宋"/>
        </w:rPr>
        <w:t>第五条 资产管理计划的初始募集规模不得低于1000万元。</w:t>
      </w:r>
    </w:p>
    <w:p>
      <w:pPr>
        <w:spacing w:line="360" w:lineRule="auto"/>
        <w:ind w:firstLine="480" w:firstLineChars="200"/>
        <w:rPr>
          <w:rFonts w:ascii="仿宋" w:hAnsi="仿宋"/>
        </w:rPr>
      </w:pPr>
      <w:r>
        <w:rPr>
          <w:rFonts w:hint="eastAsia" w:ascii="仿宋" w:hAnsi="仿宋"/>
        </w:rPr>
        <w:t>第十一条 证券期货经营机构应当及时将投资者参与资金划转至资产管理计划托管账户。</w:t>
      </w:r>
    </w:p>
    <w:p>
      <w:pPr>
        <w:spacing w:line="360" w:lineRule="auto"/>
        <w:ind w:firstLine="480" w:firstLineChars="200"/>
        <w:rPr>
          <w:rFonts w:ascii="仿宋" w:hAnsi="仿宋"/>
        </w:rPr>
      </w:pPr>
      <w:r>
        <w:rPr>
          <w:rFonts w:hint="eastAsia" w:ascii="仿宋" w:hAnsi="仿宋"/>
        </w:rPr>
        <w:t>单一资产管理计划可以约定不聘请托管机构进行托管，但应当在资产管理合同中明确保障资产管理计划资产安全的制度安排和纠纷解决机制。</w:t>
      </w:r>
    </w:p>
    <w:p>
      <w:pPr>
        <w:spacing w:line="360" w:lineRule="auto"/>
        <w:ind w:firstLine="480" w:firstLineChars="200"/>
        <w:rPr>
          <w:rFonts w:ascii="仿宋" w:hAnsi="仿宋"/>
        </w:rPr>
      </w:pPr>
      <w:r>
        <w:rPr>
          <w:rFonts w:hint="eastAsia" w:ascii="仿宋" w:hAnsi="仿宋"/>
        </w:rPr>
        <w:t>第十五条 一个集合资产管理计划投资于同一资产的资金，不得超过该计划资产净值的25%；同一证券期货经营机构管理的全部集合资产管理计划投资于同一资产的资金，不得超过该资产的25%。银行活期存款 、国债、中央银行票据、政策性金融债、地方政府债券等中国证监会认可的投资品种除外。单一融资主体及其关联方的非标准化资产，视为同一资产合并计算。</w:t>
      </w:r>
    </w:p>
    <w:p>
      <w:pPr>
        <w:spacing w:line="360" w:lineRule="auto"/>
        <w:ind w:firstLine="480" w:firstLineChars="200"/>
        <w:rPr>
          <w:rFonts w:ascii="仿宋" w:hAnsi="仿宋"/>
        </w:rPr>
      </w:pPr>
      <w:r>
        <w:rPr>
          <w:rFonts w:hint="eastAsia" w:ascii="仿宋" w:hAnsi="仿宋"/>
        </w:rPr>
        <w:t>第二十条 证券期货经营机构应当加强资产管理计划的久期管理，不得设立不设存续期限的资产管理计划。</w:t>
      </w:r>
    </w:p>
    <w:p>
      <w:pPr>
        <w:spacing w:line="360" w:lineRule="auto"/>
        <w:ind w:firstLine="480" w:firstLineChars="200"/>
        <w:rPr>
          <w:rFonts w:ascii="仿宋" w:hAnsi="仿宋"/>
        </w:rPr>
      </w:pPr>
      <w:r>
        <w:rPr>
          <w:rFonts w:hint="eastAsia" w:ascii="仿宋" w:hAnsi="仿宋"/>
        </w:rPr>
        <w:t>封闭式资产管理计划的期限不得低于90天。</w:t>
      </w:r>
    </w:p>
    <w:p>
      <w:pPr>
        <w:spacing w:line="360" w:lineRule="auto"/>
        <w:ind w:firstLine="480" w:firstLineChars="200"/>
        <w:rPr>
          <w:rFonts w:ascii="仿宋" w:hAnsi="仿宋"/>
        </w:rPr>
      </w:pPr>
      <w:r>
        <w:rPr>
          <w:rFonts w:hint="eastAsia" w:ascii="仿宋" w:hAnsi="仿宋"/>
        </w:rPr>
        <w:t>第二十七条 证券期货经营机构董事、监事、从业人员及其配偶不得参与本公司管理的单一资产管理计划。</w:t>
      </w:r>
    </w:p>
    <w:p>
      <w:pPr>
        <w:spacing w:line="360" w:lineRule="auto"/>
        <w:ind w:firstLine="480" w:firstLineChars="200"/>
        <w:rPr>
          <w:rFonts w:ascii="仿宋" w:hAnsi="仿宋"/>
        </w:rPr>
      </w:pPr>
      <w:r>
        <w:rPr>
          <w:rFonts w:hint="eastAsia" w:ascii="仿宋" w:hAnsi="仿宋"/>
        </w:rPr>
        <w:t>证券期货经营机构不得将其管理的分级资产管理计划资产，直接或者间接为该分级资产管理计划劣后级投资者及其控股股东、实际控制人或者其他关联方提供或者变相提供融资。</w:t>
      </w:r>
    </w:p>
    <w:p>
      <w:pPr>
        <w:spacing w:line="360" w:lineRule="auto"/>
        <w:ind w:firstLine="480" w:firstLineChars="200"/>
        <w:rPr>
          <w:rFonts w:ascii="仿宋" w:hAnsi="仿宋"/>
        </w:rPr>
      </w:pPr>
      <w:r>
        <w:rPr>
          <w:rFonts w:hint="eastAsia" w:ascii="仿宋" w:hAnsi="仿宋"/>
        </w:rPr>
        <w:t>第三十条 固定收益类产品优先级与劣后级的比例不得超过3:1，权益类产品优先级与劣后级的比例不得超过1:1，商品及金融衍生品类、混合类产品优先级与劣后级的比例不得超过2:1.</w:t>
      </w:r>
    </w:p>
    <w:p>
      <w:pPr>
        <w:spacing w:line="360" w:lineRule="auto"/>
        <w:ind w:firstLine="480" w:firstLineChars="200"/>
        <w:rPr>
          <w:rFonts w:ascii="仿宋" w:hAnsi="仿宋"/>
        </w:rPr>
      </w:pPr>
      <w:r>
        <w:rPr>
          <w:rFonts w:hint="eastAsia" w:ascii="仿宋" w:hAnsi="仿宋"/>
        </w:rPr>
        <w:t>分级资产管理计划若存在中间级份额，中间级份额应当计入优先级份额。</w:t>
      </w:r>
    </w:p>
    <w:p>
      <w:pPr>
        <w:spacing w:line="360" w:lineRule="auto"/>
        <w:ind w:firstLine="480" w:firstLineChars="200"/>
        <w:rPr>
          <w:rFonts w:ascii="仿宋" w:hAnsi="仿宋"/>
        </w:rPr>
      </w:pPr>
      <w:r>
        <w:rPr>
          <w:rFonts w:hint="eastAsia" w:ascii="仿宋" w:hAnsi="仿宋"/>
        </w:rPr>
        <w:t>第三十一条 分级资产管理计划不得投资其他分级或者结构化金融产品，不得直接或者间接对优先级份额认购者提供保本保收益安排。</w:t>
      </w:r>
    </w:p>
    <w:p>
      <w:pPr>
        <w:spacing w:line="360" w:lineRule="auto"/>
        <w:ind w:firstLine="480" w:firstLineChars="200"/>
        <w:rPr>
          <w:rFonts w:ascii="仿宋" w:hAnsi="仿宋"/>
        </w:rPr>
      </w:pPr>
    </w:p>
    <w:p>
      <w:pPr>
        <w:pStyle w:val="4"/>
        <w:spacing w:before="0" w:after="0" w:line="360" w:lineRule="auto"/>
        <w:rPr>
          <w:rFonts w:ascii="仿宋" w:hAnsi="仿宋"/>
          <w:szCs w:val="24"/>
        </w:rPr>
      </w:pPr>
      <w:bookmarkStart w:id="437" w:name="_Toc3896817"/>
      <w:r>
        <w:rPr>
          <w:rFonts w:hint="eastAsia" w:ascii="仿宋" w:hAnsi="仿宋"/>
          <w:szCs w:val="24"/>
        </w:rPr>
        <w:t>（三）资产管理业务中关于资产管理计划销售的相关规定</w:t>
      </w:r>
      <w:bookmarkEnd w:id="437"/>
    </w:p>
    <w:p>
      <w:pPr>
        <w:spacing w:line="360" w:lineRule="auto"/>
        <w:ind w:firstLine="480" w:firstLineChars="200"/>
        <w:rPr>
          <w:rFonts w:ascii="仿宋" w:hAnsi="仿宋"/>
        </w:rPr>
      </w:pPr>
      <w:r>
        <w:rPr>
          <w:rFonts w:hint="eastAsia" w:ascii="仿宋" w:hAnsi="仿宋"/>
        </w:rPr>
        <w:t>依据：《证券期货经营机构私募资产管理业务管理办法》</w:t>
      </w:r>
    </w:p>
    <w:p>
      <w:pPr>
        <w:spacing w:line="360" w:lineRule="auto"/>
        <w:ind w:firstLine="480" w:firstLineChars="200"/>
        <w:rPr>
          <w:rFonts w:ascii="仿宋" w:hAnsi="仿宋"/>
        </w:rPr>
      </w:pPr>
      <w:r>
        <w:rPr>
          <w:rFonts w:hint="eastAsia" w:ascii="仿宋" w:hAnsi="仿宋"/>
        </w:rPr>
        <w:t>第二十五条 资产管理计划应当以非公开方式向合格投资者募集。</w:t>
      </w:r>
    </w:p>
    <w:p>
      <w:pPr>
        <w:spacing w:line="360" w:lineRule="auto"/>
        <w:ind w:firstLine="480" w:firstLineChars="200"/>
        <w:rPr>
          <w:rFonts w:ascii="仿宋" w:hAnsi="仿宋"/>
        </w:rPr>
      </w:pPr>
      <w:r>
        <w:rPr>
          <w:rFonts w:hint="eastAsia" w:ascii="仿宋" w:hAnsi="仿宋"/>
        </w:rPr>
        <w:t>证券期货经营机构、销售机构不得公开或变相公开募集资产管理计划，不得通过报刊、电台、电视、互联网等传播媒体或者讲座、报告会、传单、布告、自媒体等方式向不特定对象宣传具体资产管理计划。</w:t>
      </w:r>
    </w:p>
    <w:p>
      <w:pPr>
        <w:spacing w:line="360" w:lineRule="auto"/>
        <w:ind w:firstLine="480" w:firstLineChars="200"/>
        <w:rPr>
          <w:rFonts w:ascii="仿宋" w:hAnsi="仿宋"/>
        </w:rPr>
      </w:pPr>
      <w:r>
        <w:rPr>
          <w:rFonts w:hint="eastAsia" w:ascii="仿宋" w:hAnsi="仿宋"/>
        </w:rPr>
        <w:t>第二十七条 证券期货经营机构和销售机构在募集资产管理计划过程中，应当按照中国证监会的规定，严格履行适当性管理义务，充分了解投资者，对投资者进行分类，对资产管理计划进行风险评级，遵循风险匹配原则，向投资者推荐适当的产品，禁止误导投资者购买与其风险承受能力不相符合的产品，禁止向风险识别能力和风险承受能力低于产品风险等级的投资者销售资产管理计划。</w:t>
      </w:r>
    </w:p>
    <w:p>
      <w:pPr>
        <w:spacing w:line="360" w:lineRule="auto"/>
        <w:ind w:firstLine="480" w:firstLineChars="200"/>
        <w:rPr>
          <w:rFonts w:ascii="仿宋" w:hAnsi="仿宋"/>
        </w:rPr>
      </w:pPr>
      <w:r>
        <w:rPr>
          <w:rFonts w:hint="eastAsia" w:ascii="仿宋" w:hAnsi="仿宋"/>
        </w:rPr>
        <w:t>投资者应当以真实身份和自有资金参与资产管理计划， 并承诺委托资金的来源符合法律、 行政法规的规定。 投资者未作承诺，或者证券期货经营机构、销售机构知道或者应当知道投资者身份不真实、委托资金来源不合法的， 证券期货经营机构、 销售机构不得接受其参与资产管理计划。</w:t>
      </w:r>
    </w:p>
    <w:p>
      <w:pPr>
        <w:spacing w:line="360" w:lineRule="auto"/>
        <w:ind w:firstLine="480" w:firstLineChars="200"/>
        <w:rPr>
          <w:rFonts w:ascii="仿宋" w:hAnsi="仿宋"/>
        </w:rPr>
      </w:pPr>
      <w:r>
        <w:rPr>
          <w:rFonts w:hint="eastAsia" w:ascii="仿宋" w:hAnsi="仿宋"/>
        </w:rPr>
        <w:t>第三十四条 证券期货经营机构以自有资金参与集合资产管理计划，应当符合法律、行政法规和中国证监会的规定，并按照《中华人民共和国公司法》和公司章程的规定，获得公司股东会、董事会或者其他授权程序的批准。</w:t>
      </w:r>
    </w:p>
    <w:p>
      <w:pPr>
        <w:spacing w:line="360" w:lineRule="auto"/>
        <w:ind w:firstLine="480" w:firstLineChars="200"/>
        <w:rPr>
          <w:rFonts w:ascii="仿宋" w:hAnsi="仿宋"/>
        </w:rPr>
      </w:pPr>
      <w:r>
        <w:rPr>
          <w:rFonts w:hint="eastAsia" w:ascii="仿宋" w:hAnsi="仿宋"/>
        </w:rPr>
        <w:t>证券期货经营机构自有资金所持的集合资产管理计划份额， 应当与投资者所持的同类份额享有同等权益、承担同等风险。</w:t>
      </w:r>
    </w:p>
    <w:p>
      <w:pPr>
        <w:spacing w:line="360" w:lineRule="auto"/>
        <w:ind w:firstLine="480" w:firstLineChars="200"/>
        <w:rPr>
          <w:rFonts w:ascii="仿宋" w:hAnsi="仿宋"/>
        </w:rPr>
      </w:pPr>
    </w:p>
    <w:p>
      <w:pPr>
        <w:pStyle w:val="4"/>
        <w:spacing w:before="0" w:after="0" w:line="360" w:lineRule="auto"/>
        <w:rPr>
          <w:rFonts w:ascii="仿宋" w:hAnsi="仿宋"/>
          <w:szCs w:val="24"/>
        </w:rPr>
      </w:pPr>
      <w:bookmarkStart w:id="438" w:name="_Toc3896818"/>
      <w:r>
        <w:rPr>
          <w:rFonts w:hint="eastAsia" w:ascii="仿宋" w:hAnsi="仿宋"/>
          <w:szCs w:val="24"/>
        </w:rPr>
        <w:t>（四）资产管理业务的隔离性要求</w:t>
      </w:r>
      <w:bookmarkEnd w:id="438"/>
    </w:p>
    <w:p>
      <w:pPr>
        <w:spacing w:line="360" w:lineRule="auto"/>
        <w:ind w:firstLine="480" w:firstLineChars="200"/>
        <w:rPr>
          <w:rFonts w:ascii="仿宋" w:hAnsi="仿宋"/>
        </w:rPr>
      </w:pPr>
      <w:r>
        <w:rPr>
          <w:rFonts w:hint="eastAsia" w:ascii="仿宋" w:hAnsi="仿宋"/>
        </w:rPr>
        <w:t>依据：《证券期货经营机构私募资产管理业务管理办法》</w:t>
      </w:r>
    </w:p>
    <w:p>
      <w:pPr>
        <w:spacing w:line="360" w:lineRule="auto"/>
        <w:ind w:firstLine="480" w:firstLineChars="200"/>
        <w:rPr>
          <w:rFonts w:ascii="仿宋" w:hAnsi="仿宋"/>
        </w:rPr>
      </w:pPr>
      <w:r>
        <w:rPr>
          <w:rFonts w:hint="eastAsia" w:ascii="仿宋" w:hAnsi="仿宋"/>
        </w:rPr>
        <w:t>第五条 证券期货经营机构从事私募资产管理业务，应当实行集中运营管理， 建立健全内部控制和合规管理制度，采取有效措施，将私募资产管理业务与公司其他业务分开管理，控制敏感信息的不当流动和使用， 防范内幕交易、利用未公开信息交易、利益冲突和利益输送。</w:t>
      </w:r>
    </w:p>
    <w:p>
      <w:pPr>
        <w:spacing w:line="360" w:lineRule="auto"/>
        <w:ind w:firstLine="480" w:firstLineChars="200"/>
        <w:rPr>
          <w:rFonts w:ascii="仿宋" w:hAnsi="仿宋"/>
        </w:rPr>
      </w:pPr>
      <w:r>
        <w:rPr>
          <w:rFonts w:hint="eastAsia" w:ascii="仿宋" w:hAnsi="仿宋"/>
        </w:rPr>
        <w:t>第六条 资产管理计划财产的债务由资产管理计划财产本身承担， 投资者以其出资为限对资产管理计划财产的债务承担责任。但资产管理合同依照《证券投资基金法》 另有约定的， 从其约定。</w:t>
      </w:r>
    </w:p>
    <w:p>
      <w:pPr>
        <w:spacing w:line="360" w:lineRule="auto"/>
        <w:ind w:firstLine="480" w:firstLineChars="200"/>
        <w:rPr>
          <w:rFonts w:ascii="仿宋" w:hAnsi="仿宋"/>
        </w:rPr>
      </w:pPr>
      <w:r>
        <w:rPr>
          <w:rFonts w:hint="eastAsia" w:ascii="仿宋" w:hAnsi="仿宋"/>
        </w:rPr>
        <w:t>资产管理计划财产独立于证券期货经营机构和托管人的固有财产，并独立于证券期货经营机构管理的和托管人托管的其他财产。 证券期货经营机构、托管人不得将资产管理计划财产归入其固有财产。</w:t>
      </w:r>
    </w:p>
    <w:p>
      <w:pPr>
        <w:spacing w:line="360" w:lineRule="auto"/>
        <w:ind w:firstLine="480" w:firstLineChars="200"/>
        <w:rPr>
          <w:rFonts w:ascii="仿宋" w:hAnsi="仿宋"/>
        </w:rPr>
      </w:pPr>
      <w:r>
        <w:rPr>
          <w:rFonts w:hint="eastAsia" w:ascii="仿宋" w:hAnsi="仿宋"/>
        </w:rPr>
        <w:t>证券期货经营机构、托管人因资产管理计划财产的管理、运用或者其他情形而取得的财产和收益，归入资产管理计划财产。证券期货经营机构、托管人因依法解散、被依法撤销或者被依法宣告破产等原因进行清算的， 资产管理计划财产不属于其清算财产。</w:t>
      </w:r>
    </w:p>
    <w:p>
      <w:pPr>
        <w:spacing w:line="360" w:lineRule="auto"/>
        <w:ind w:firstLine="480" w:firstLineChars="200"/>
        <w:rPr>
          <w:rFonts w:ascii="仿宋" w:hAnsi="仿宋"/>
        </w:rPr>
      </w:pPr>
      <w:r>
        <w:rPr>
          <w:rFonts w:hint="eastAsia" w:ascii="仿宋" w:hAnsi="仿宋"/>
        </w:rPr>
        <w:t>非因资产管理计划本身的债务或者法律规定的其他情形，不得查封、冻结、扣划或者强制执行资产管理计划财产。</w:t>
      </w:r>
    </w:p>
    <w:p>
      <w:pPr>
        <w:spacing w:line="360" w:lineRule="auto"/>
        <w:ind w:firstLine="480" w:firstLineChars="200"/>
        <w:rPr>
          <w:rFonts w:ascii="仿宋" w:hAnsi="仿宋"/>
        </w:rPr>
      </w:pPr>
      <w:r>
        <w:rPr>
          <w:rFonts w:hint="eastAsia" w:ascii="仿宋" w:hAnsi="仿宋"/>
        </w:rPr>
        <w:t>第二十九条 集合资产管理计划募集期间，证券期货经营机构、销售机构应当在规定期限内，将投资者参与资金存入集合资产管理计划份额登记机构指定的专门账户。集合资产管理计划成立前，任何机构和个人不得动用投资者参与资金。</w:t>
      </w:r>
    </w:p>
    <w:p>
      <w:pPr>
        <w:spacing w:line="360" w:lineRule="auto"/>
        <w:ind w:firstLine="480" w:firstLineChars="200"/>
        <w:rPr>
          <w:rFonts w:ascii="仿宋" w:hAnsi="仿宋"/>
        </w:rPr>
      </w:pPr>
      <w:r>
        <w:rPr>
          <w:rFonts w:hint="eastAsia" w:ascii="仿宋" w:hAnsi="仿宋"/>
        </w:rPr>
        <w:t>按照前款规定存入专门账户的投资者参与资金，独立于证券期货经营机构、销售机构的固有财产。非因投资者本身的债务或者法律规定的其他情形，不得查封、冻结、扣划或者强制执行存入专门账户的投资者参与资金。</w:t>
      </w:r>
    </w:p>
    <w:p>
      <w:pPr>
        <w:spacing w:line="360" w:lineRule="auto"/>
        <w:ind w:firstLine="480" w:firstLineChars="200"/>
        <w:rPr>
          <w:rFonts w:ascii="仿宋" w:hAnsi="仿宋"/>
        </w:rPr>
      </w:pPr>
      <w:r>
        <w:rPr>
          <w:rFonts w:hint="eastAsia" w:ascii="仿宋" w:hAnsi="仿宋"/>
        </w:rPr>
        <w:t>第五十九条 证券期货经营机构应当采取有效措施， 确保私募资产管理业务与其他业务在场地、 人员、账户、资金、信息等方面相分离，不同投资经理管理的资产管理计划的持仓和交易等重大非公开投资信息相隔离，控制敏感信息的不当流动和使用，切实防范内幕交易、 利用未公开信息交易、 利益冲突和利益输送。</w:t>
      </w:r>
    </w:p>
    <w:p>
      <w:pPr>
        <w:spacing w:line="360" w:lineRule="auto"/>
        <w:ind w:firstLine="480" w:firstLineChars="200"/>
        <w:rPr>
          <w:rFonts w:ascii="仿宋" w:hAnsi="仿宋"/>
        </w:rPr>
      </w:pPr>
      <w:r>
        <w:rPr>
          <w:rFonts w:hint="eastAsia" w:ascii="仿宋" w:hAnsi="仿宋"/>
        </w:rPr>
        <w:t>第六十五条 证券期货经营机构的自营账户、资产管理计划账户、 作为投资顾问管理的产品账户之间， 以及不同资产管理计划账户之间， 不得发生交易，有充分证据证明进行有效隔离并且价格公允的除外。</w:t>
      </w:r>
    </w:p>
    <w:p>
      <w:pPr>
        <w:spacing w:line="360" w:lineRule="auto"/>
        <w:ind w:firstLine="480" w:firstLineChars="200"/>
        <w:rPr>
          <w:rFonts w:ascii="仿宋" w:hAnsi="仿宋"/>
        </w:rPr>
      </w:pPr>
      <w:r>
        <w:rPr>
          <w:rFonts w:hint="eastAsia" w:ascii="仿宋" w:hAnsi="仿宋"/>
        </w:rPr>
        <w:t>子公司从事私募资产管理业务的，证券期货经营机构的自营账户、资产管理计划账户以及作为投资顾问管理的产品账户与子司的资产管理计划账户之间的交易，适用本条规定。</w:t>
      </w:r>
    </w:p>
    <w:p>
      <w:pPr>
        <w:spacing w:line="360" w:lineRule="auto"/>
        <w:ind w:firstLine="480" w:firstLineChars="200"/>
        <w:rPr>
          <w:rFonts w:ascii="仿宋" w:hAnsi="仿宋"/>
        </w:rPr>
      </w:pPr>
      <w:r>
        <w:rPr>
          <w:rFonts w:hint="eastAsia" w:ascii="仿宋" w:hAnsi="仿宋"/>
        </w:rPr>
        <w:t>第六十八条 证券期货经营机构和托管人应当加强对私募资产管理业务从业人员的管理， 加强关键岗位的监督与制衡，投资经理、交易执行、风险控制等岗位不得相互兼任，并建立从业人员投资申报、登记、审查、处置等管理制度，防范与投资者发生利益冲突。</w:t>
      </w:r>
    </w:p>
    <w:p>
      <w:pPr>
        <w:spacing w:line="360" w:lineRule="auto"/>
        <w:ind w:firstLine="480" w:firstLineChars="200"/>
        <w:rPr>
          <w:rFonts w:ascii="仿宋" w:hAnsi="仿宋"/>
        </w:rPr>
      </w:pPr>
      <w:r>
        <w:rPr>
          <w:rFonts w:hint="eastAsia" w:ascii="仿宋" w:hAnsi="仿宋"/>
        </w:rPr>
        <w:t>依据：《证券期货经营机构私募资产管理计划运作管理规定》</w:t>
      </w:r>
    </w:p>
    <w:p>
      <w:pPr>
        <w:spacing w:line="360" w:lineRule="auto"/>
        <w:ind w:firstLine="480" w:firstLineChars="200"/>
        <w:rPr>
          <w:rFonts w:ascii="仿宋" w:hAnsi="仿宋"/>
        </w:rPr>
      </w:pPr>
      <w:r>
        <w:rPr>
          <w:rFonts w:hint="eastAsia" w:ascii="仿宋" w:hAnsi="仿宋"/>
        </w:rPr>
        <w:t>第三十五条 证券期货经营机构应当对每个资产管理计划单独管理、单独建账、单独核算，不得有以下行为：</w:t>
      </w:r>
    </w:p>
    <w:p>
      <w:pPr>
        <w:spacing w:line="360" w:lineRule="auto"/>
        <w:ind w:firstLine="480" w:firstLineChars="200"/>
        <w:rPr>
          <w:rFonts w:ascii="仿宋" w:hAnsi="仿宋"/>
        </w:rPr>
      </w:pPr>
      <w:r>
        <w:rPr>
          <w:rFonts w:hint="eastAsia" w:ascii="仿宋" w:hAnsi="仿宋"/>
        </w:rPr>
        <w:t>（一）将不同资产管理计划进行混同运作， 或者出现资金与资产无法明确对应的其他情形；</w:t>
      </w:r>
    </w:p>
    <w:p>
      <w:pPr>
        <w:spacing w:line="360" w:lineRule="auto"/>
        <w:ind w:firstLine="480" w:firstLineChars="200"/>
        <w:rPr>
          <w:rFonts w:ascii="仿宋" w:hAnsi="仿宋"/>
        </w:rPr>
      </w:pPr>
      <w:r>
        <w:rPr>
          <w:rFonts w:hint="eastAsia" w:ascii="仿宋" w:hAnsi="仿宋"/>
        </w:rPr>
        <w:t>（二）未按规定进行合理估值， 脱离实际投资收益进行分离定价；</w:t>
      </w:r>
    </w:p>
    <w:p>
      <w:pPr>
        <w:spacing w:line="360" w:lineRule="auto"/>
        <w:ind w:firstLine="480" w:firstLineChars="200"/>
        <w:rPr>
          <w:rFonts w:ascii="仿宋" w:hAnsi="仿宋"/>
        </w:rPr>
      </w:pPr>
      <w:r>
        <w:rPr>
          <w:rFonts w:hint="eastAsia" w:ascii="仿宋" w:hAnsi="仿宋"/>
        </w:rPr>
        <w:t>（三）未产生实际投资收益， 仅以后期投资者的投资资金向前期投资者进行兑付；</w:t>
      </w:r>
    </w:p>
    <w:p>
      <w:pPr>
        <w:spacing w:line="360" w:lineRule="auto"/>
        <w:ind w:firstLine="480" w:firstLineChars="200"/>
        <w:rPr>
          <w:rFonts w:ascii="仿宋" w:hAnsi="仿宋"/>
        </w:rPr>
      </w:pPr>
      <w:r>
        <w:rPr>
          <w:rFonts w:hint="eastAsia" w:ascii="仿宋" w:hAnsi="仿宋"/>
        </w:rPr>
        <w:t>（四）资产管理计划发生兑付风险时通过开放参与或者滚动发行等方式由后期投资者承担风险；</w:t>
      </w:r>
    </w:p>
    <w:p>
      <w:pPr>
        <w:spacing w:line="360" w:lineRule="auto"/>
        <w:ind w:firstLine="480" w:firstLineChars="200"/>
        <w:rPr>
          <w:rFonts w:ascii="仿宋" w:hAnsi="仿宋"/>
        </w:rPr>
      </w:pPr>
      <w:r>
        <w:rPr>
          <w:rFonts w:hint="eastAsia" w:ascii="仿宋" w:hAnsi="仿宋"/>
        </w:rPr>
        <w:t>（五）法律、行政法规和中国证监会禁止的其他行为。</w:t>
      </w:r>
    </w:p>
    <w:p>
      <w:pPr>
        <w:spacing w:line="360" w:lineRule="auto"/>
        <w:ind w:firstLine="480" w:firstLineChars="200"/>
        <w:rPr>
          <w:rFonts w:ascii="仿宋" w:hAnsi="仿宋"/>
        </w:rPr>
      </w:pPr>
    </w:p>
    <w:p>
      <w:pPr>
        <w:pStyle w:val="4"/>
        <w:spacing w:before="0" w:after="0" w:line="360" w:lineRule="auto"/>
        <w:rPr>
          <w:rFonts w:ascii="仿宋" w:hAnsi="仿宋"/>
          <w:szCs w:val="24"/>
        </w:rPr>
      </w:pPr>
      <w:bookmarkStart w:id="439" w:name="_Toc3896819"/>
      <w:r>
        <w:rPr>
          <w:rFonts w:hint="eastAsia" w:ascii="仿宋" w:hAnsi="仿宋"/>
          <w:szCs w:val="24"/>
        </w:rPr>
        <w:t>（五）资产管理业务中关于委托第三方机构提供投资建议的的相关规定</w:t>
      </w:r>
      <w:bookmarkEnd w:id="439"/>
    </w:p>
    <w:p>
      <w:pPr>
        <w:spacing w:line="360" w:lineRule="auto"/>
        <w:ind w:firstLine="480" w:firstLineChars="200"/>
        <w:rPr>
          <w:rFonts w:ascii="仿宋" w:hAnsi="仿宋"/>
        </w:rPr>
      </w:pPr>
      <w:r>
        <w:rPr>
          <w:rFonts w:hint="eastAsia" w:ascii="仿宋" w:hAnsi="仿宋"/>
        </w:rPr>
        <w:t>依据：《证券期货经营机构私募资产管理业务管理办法》</w:t>
      </w:r>
    </w:p>
    <w:p>
      <w:pPr>
        <w:spacing w:line="360" w:lineRule="auto"/>
        <w:ind w:firstLine="480" w:firstLineChars="200"/>
        <w:rPr>
          <w:rFonts w:ascii="仿宋" w:hAnsi="仿宋"/>
        </w:rPr>
      </w:pPr>
      <w:r>
        <w:rPr>
          <w:rFonts w:hint="eastAsia" w:ascii="仿宋" w:hAnsi="仿宋"/>
        </w:rPr>
        <w:t>第十六条 证券期货经营机构从事私募资产管理业务， 可以聘请符合中国证监会规定条件并接受国务院金融监督管理机构监管的机构为其提供投资顾问服务。证券期货经营机构依法应当承担的责任不因聘请投资顾问而免除。</w:t>
      </w:r>
    </w:p>
    <w:p>
      <w:pPr>
        <w:spacing w:line="360" w:lineRule="auto"/>
        <w:ind w:firstLine="480" w:firstLineChars="200"/>
        <w:rPr>
          <w:rFonts w:ascii="仿宋" w:hAnsi="仿宋"/>
        </w:rPr>
      </w:pPr>
      <w:r>
        <w:rPr>
          <w:rFonts w:hint="eastAsia" w:ascii="仿宋" w:hAnsi="仿宋"/>
        </w:rPr>
        <w:t>证券期货经营机构应当向投资者详细披露所聘请的投资顾问的资质、收费等情况，以及更换、解聘投资顾问的条件和程序，充分揭示聘请投资顾问可能产生的特定风险。</w:t>
      </w:r>
    </w:p>
    <w:p>
      <w:pPr>
        <w:spacing w:line="360" w:lineRule="auto"/>
        <w:ind w:firstLine="480" w:firstLineChars="200"/>
        <w:rPr>
          <w:rFonts w:ascii="仿宋" w:hAnsi="仿宋"/>
        </w:rPr>
      </w:pPr>
      <w:r>
        <w:rPr>
          <w:rFonts w:hint="eastAsia" w:ascii="仿宋" w:hAnsi="仿宋"/>
        </w:rPr>
        <w:t>证券期货经营机构不得聘请个人或者不符合条件的机构提供投资顾问服务。</w:t>
      </w:r>
    </w:p>
    <w:p>
      <w:pPr>
        <w:spacing w:line="360" w:lineRule="auto"/>
        <w:ind w:firstLine="480" w:firstLineChars="200"/>
        <w:rPr>
          <w:rFonts w:ascii="仿宋" w:hAnsi="仿宋"/>
        </w:rPr>
      </w:pPr>
      <w:r>
        <w:rPr>
          <w:rFonts w:hint="eastAsia" w:ascii="仿宋" w:hAnsi="仿宋"/>
        </w:rPr>
        <w:t>第六十九条 证券期货经营机构应当建立资产管理计划的销售机构和投资顾问的授权管理体系，明确销售机构和投资顾问的准入标准和程序，对相关机构资质条件、专业服务能力和风险管理制度等进行尽职调查， 确保其符合法规规定。证券期货经营机构应当以书面方式明确界定双方的权利与义务，明确相关风险的责任承担方式。</w:t>
      </w:r>
    </w:p>
    <w:p>
      <w:pPr>
        <w:spacing w:line="360" w:lineRule="auto"/>
        <w:ind w:firstLine="480" w:firstLineChars="200"/>
        <w:rPr>
          <w:rFonts w:ascii="仿宋" w:hAnsi="仿宋"/>
        </w:rPr>
      </w:pPr>
      <w:r>
        <w:rPr>
          <w:rFonts w:hint="eastAsia" w:ascii="仿宋" w:hAnsi="仿宋"/>
        </w:rPr>
        <w:t>证券期货经营机构应当建立对销售机构和投资顾问履职情况的监督评估机制，发现违法违规行为的，应当及时更换并报告中国证监会相关派出机构和证券投资基金业协会。</w:t>
      </w:r>
    </w:p>
    <w:p>
      <w:pPr>
        <w:spacing w:line="360" w:lineRule="auto"/>
        <w:ind w:firstLine="480" w:firstLineChars="200"/>
        <w:rPr>
          <w:rFonts w:ascii="仿宋" w:hAnsi="仿宋"/>
        </w:rPr>
      </w:pPr>
      <w:r>
        <w:rPr>
          <w:rFonts w:hint="eastAsia" w:ascii="仿宋" w:hAnsi="仿宋"/>
        </w:rPr>
        <w:t>依据：《证券期货经营机构私募资产管理计划运作管理规定》</w:t>
      </w:r>
    </w:p>
    <w:p>
      <w:pPr>
        <w:spacing w:line="360" w:lineRule="auto"/>
        <w:ind w:firstLine="480" w:firstLineChars="200"/>
        <w:rPr>
          <w:rFonts w:ascii="仿宋" w:hAnsi="仿宋"/>
        </w:rPr>
      </w:pPr>
      <w:r>
        <w:rPr>
          <w:rFonts w:hint="eastAsia" w:ascii="仿宋" w:hAnsi="仿宋"/>
        </w:rPr>
        <w:t>第三十二条 资产管理计划的投资顾问应当为依法可以从事资产管理业务的证券期货经营机构、商业银行资产管理机构、保险资产管理机构以及中国证监会认可的其他金融机构， 或者同时符合以下条件的私募证券投资基金管理人：</w:t>
      </w:r>
    </w:p>
    <w:p>
      <w:pPr>
        <w:spacing w:line="360" w:lineRule="auto"/>
        <w:ind w:firstLine="480" w:firstLineChars="200"/>
        <w:rPr>
          <w:rFonts w:ascii="仿宋" w:hAnsi="仿宋"/>
        </w:rPr>
      </w:pPr>
      <w:r>
        <w:rPr>
          <w:rFonts w:hint="eastAsia" w:ascii="仿宋" w:hAnsi="仿宋"/>
        </w:rPr>
        <w:t>（一） 在证券投资基金业协会登记满 1 年、 无重大违法违规记录的会员；</w:t>
      </w:r>
    </w:p>
    <w:p>
      <w:pPr>
        <w:spacing w:line="360" w:lineRule="auto"/>
        <w:ind w:firstLine="480" w:firstLineChars="200"/>
        <w:rPr>
          <w:rFonts w:ascii="仿宋" w:hAnsi="仿宋"/>
        </w:rPr>
      </w:pPr>
      <w:r>
        <w:rPr>
          <w:rFonts w:hint="eastAsia" w:ascii="仿宋" w:hAnsi="仿宋"/>
        </w:rPr>
        <w:t>（二）具备 3 年以上连续可追溯证券、 期货投资管理业绩且无不良从业记录的投资管理人员不少于 3 人；</w:t>
      </w:r>
    </w:p>
    <w:p>
      <w:pPr>
        <w:spacing w:line="360" w:lineRule="auto"/>
        <w:ind w:firstLine="480" w:firstLineChars="200"/>
        <w:rPr>
          <w:rFonts w:ascii="仿宋" w:hAnsi="仿宋"/>
        </w:rPr>
      </w:pPr>
      <w:r>
        <w:rPr>
          <w:rFonts w:hint="eastAsia" w:ascii="仿宋" w:hAnsi="仿宋"/>
        </w:rPr>
        <w:t>（三）中国证监会规定的其他条件。</w:t>
      </w:r>
    </w:p>
    <w:p>
      <w:pPr>
        <w:spacing w:line="360" w:lineRule="auto"/>
        <w:ind w:firstLine="480" w:firstLineChars="200"/>
        <w:rPr>
          <w:rFonts w:ascii="仿宋" w:hAnsi="仿宋"/>
        </w:rPr>
      </w:pPr>
      <w:r>
        <w:rPr>
          <w:rFonts w:hint="eastAsia" w:ascii="仿宋" w:hAnsi="仿宋"/>
        </w:rPr>
        <w:t>第三十三条 证券期货经营机构应当对投资顾问的投资建议进行审查，不得由投资顾问直接执行投资指令。</w:t>
      </w:r>
    </w:p>
    <w:p>
      <w:pPr>
        <w:spacing w:line="360" w:lineRule="auto"/>
        <w:ind w:firstLine="480" w:firstLineChars="200"/>
        <w:rPr>
          <w:rFonts w:ascii="仿宋" w:hAnsi="仿宋"/>
        </w:rPr>
      </w:pPr>
      <w:r>
        <w:rPr>
          <w:rFonts w:hint="eastAsia" w:ascii="仿宋" w:hAnsi="仿宋"/>
        </w:rPr>
        <w:t>证券期货经营机构不得允许投资顾问及其关联方以其自有资金或者募集资金投资于分级资产管理计划的劣后级份额， 不得向未提供实质服务的投资顾问支付费用或者支付与其提供的服务不相匹配的费用。</w:t>
      </w:r>
    </w:p>
    <w:p>
      <w:pPr>
        <w:spacing w:line="360" w:lineRule="auto"/>
        <w:ind w:firstLine="480" w:firstLineChars="200"/>
        <w:rPr>
          <w:rFonts w:ascii="仿宋" w:hAnsi="仿宋"/>
        </w:rPr>
      </w:pPr>
    </w:p>
    <w:p>
      <w:pPr>
        <w:pStyle w:val="4"/>
        <w:spacing w:before="0" w:after="0" w:line="360" w:lineRule="auto"/>
        <w:rPr>
          <w:rFonts w:ascii="仿宋" w:hAnsi="仿宋"/>
          <w:szCs w:val="24"/>
        </w:rPr>
      </w:pPr>
      <w:bookmarkStart w:id="440" w:name="_Toc3896820"/>
      <w:r>
        <w:rPr>
          <w:rFonts w:hint="eastAsia" w:ascii="仿宋" w:hAnsi="仿宋"/>
          <w:szCs w:val="24"/>
        </w:rPr>
        <w:t>（六）资产管理业务中关于不得从事违法证券期货业务活动或者为违法证券期货业务活动提供交易便利的禁止性规定</w:t>
      </w:r>
      <w:bookmarkEnd w:id="440"/>
    </w:p>
    <w:p>
      <w:pPr>
        <w:spacing w:line="360" w:lineRule="auto"/>
        <w:ind w:firstLine="480" w:firstLineChars="200"/>
        <w:rPr>
          <w:rFonts w:ascii="仿宋" w:hAnsi="仿宋"/>
          <w:b/>
        </w:rPr>
      </w:pPr>
      <w:r>
        <w:rPr>
          <w:rFonts w:hint="eastAsia" w:ascii="仿宋" w:hAnsi="仿宋"/>
        </w:rPr>
        <w:t>依据：《证券期货经营机构私募资产管理业务管理办法》</w:t>
      </w:r>
    </w:p>
    <w:p>
      <w:pPr>
        <w:spacing w:line="360" w:lineRule="auto"/>
        <w:ind w:firstLine="480" w:firstLineChars="200"/>
        <w:rPr>
          <w:rFonts w:ascii="仿宋" w:hAnsi="仿宋"/>
        </w:rPr>
      </w:pPr>
      <w:r>
        <w:rPr>
          <w:rFonts w:hint="eastAsia" w:ascii="仿宋" w:hAnsi="仿宋"/>
        </w:rPr>
        <w:t>第十七条 证券期货经营机构、托管人、投资顾问及相关从业人员不得有下列行为：</w:t>
      </w:r>
    </w:p>
    <w:p>
      <w:pPr>
        <w:spacing w:line="360" w:lineRule="auto"/>
        <w:ind w:firstLine="480" w:firstLineChars="200"/>
        <w:rPr>
          <w:rFonts w:ascii="仿宋" w:hAnsi="仿宋"/>
        </w:rPr>
      </w:pPr>
      <w:r>
        <w:rPr>
          <w:rFonts w:hint="eastAsia" w:ascii="仿宋" w:hAnsi="仿宋"/>
        </w:rPr>
        <w:t>（一）利用资产管理计划从事内幕交易、操纵市场或者其他不当、违法的证券期货业务活动；</w:t>
      </w:r>
    </w:p>
    <w:p>
      <w:pPr>
        <w:spacing w:line="360" w:lineRule="auto"/>
        <w:ind w:firstLine="480" w:firstLineChars="200"/>
        <w:rPr>
          <w:rFonts w:ascii="仿宋" w:hAnsi="仿宋"/>
        </w:rPr>
      </w:pPr>
      <w:r>
        <w:rPr>
          <w:rFonts w:hint="eastAsia" w:ascii="仿宋" w:hAnsi="仿宋"/>
        </w:rPr>
        <w:t>（二）泄露因职务便利获取的未公开信息、利用该信息从事或者明示、暗示他人从事相关交易活动；</w:t>
      </w:r>
    </w:p>
    <w:p>
      <w:pPr>
        <w:spacing w:line="360" w:lineRule="auto"/>
        <w:ind w:firstLine="480" w:firstLineChars="200"/>
        <w:rPr>
          <w:rFonts w:ascii="仿宋" w:hAnsi="仿宋"/>
        </w:rPr>
      </w:pPr>
      <w:r>
        <w:rPr>
          <w:rFonts w:hint="eastAsia" w:ascii="仿宋" w:hAnsi="仿宋"/>
        </w:rPr>
        <w:t>（三）为违法或者规避监管的证券期货业务活动提供交易便利；</w:t>
      </w:r>
    </w:p>
    <w:p>
      <w:pPr>
        <w:spacing w:line="360" w:lineRule="auto"/>
        <w:ind w:firstLine="480" w:firstLineChars="200"/>
        <w:rPr>
          <w:rFonts w:ascii="仿宋" w:hAnsi="仿宋"/>
        </w:rPr>
      </w:pPr>
      <w:r>
        <w:rPr>
          <w:rFonts w:hint="eastAsia" w:ascii="仿宋" w:hAnsi="仿宋"/>
        </w:rPr>
        <w:t>（四）从事非公平交易、利益输送等损害投资者合法权益的行为；</w:t>
      </w:r>
    </w:p>
    <w:p>
      <w:pPr>
        <w:spacing w:line="360" w:lineRule="auto"/>
        <w:ind w:firstLine="480" w:firstLineChars="200"/>
        <w:rPr>
          <w:rFonts w:ascii="仿宋" w:hAnsi="仿宋"/>
        </w:rPr>
      </w:pPr>
      <w:r>
        <w:rPr>
          <w:rFonts w:hint="eastAsia" w:ascii="仿宋" w:hAnsi="仿宋"/>
        </w:rPr>
        <w:t>（五）利用资产管理计划进行商业贿赂；</w:t>
      </w:r>
    </w:p>
    <w:p>
      <w:pPr>
        <w:spacing w:line="360" w:lineRule="auto"/>
        <w:ind w:firstLine="480" w:firstLineChars="200"/>
        <w:rPr>
          <w:rFonts w:ascii="仿宋" w:hAnsi="仿宋"/>
        </w:rPr>
      </w:pPr>
      <w:r>
        <w:rPr>
          <w:rFonts w:hint="eastAsia" w:ascii="仿宋" w:hAnsi="仿宋"/>
        </w:rPr>
        <w:t>（六）侵占、挪用资产管理计划财产；</w:t>
      </w:r>
    </w:p>
    <w:p>
      <w:pPr>
        <w:spacing w:line="360" w:lineRule="auto"/>
        <w:ind w:firstLine="480" w:firstLineChars="200"/>
        <w:rPr>
          <w:rFonts w:ascii="仿宋" w:hAnsi="仿宋"/>
        </w:rPr>
      </w:pPr>
      <w:r>
        <w:rPr>
          <w:rFonts w:hint="eastAsia" w:ascii="仿宋" w:hAnsi="仿宋"/>
        </w:rPr>
        <w:t>（七）利用资产管理计划或者职务便利为投资者以外的第三方谋取不正当利益；</w:t>
      </w:r>
    </w:p>
    <w:p>
      <w:pPr>
        <w:spacing w:line="360" w:lineRule="auto"/>
        <w:ind w:firstLine="480" w:firstLineChars="200"/>
        <w:rPr>
          <w:rFonts w:ascii="仿宋" w:hAnsi="仿宋"/>
        </w:rPr>
      </w:pPr>
      <w:r>
        <w:rPr>
          <w:rFonts w:hint="eastAsia" w:ascii="仿宋" w:hAnsi="仿宋"/>
        </w:rPr>
        <w:t>（八）直接或者间接向投资者返还管理费；</w:t>
      </w:r>
    </w:p>
    <w:p>
      <w:pPr>
        <w:spacing w:line="360" w:lineRule="auto"/>
        <w:ind w:firstLine="480" w:firstLineChars="200"/>
        <w:rPr>
          <w:rFonts w:ascii="仿宋" w:hAnsi="仿宋"/>
        </w:rPr>
      </w:pPr>
      <w:r>
        <w:rPr>
          <w:rFonts w:hint="eastAsia" w:ascii="仿宋" w:hAnsi="仿宋"/>
        </w:rPr>
        <w:t>（九）以获取佣金或者其他不当利益为目的，使用资产管理计划财产进行不必要的交易；</w:t>
      </w:r>
    </w:p>
    <w:p>
      <w:pPr>
        <w:spacing w:line="360" w:lineRule="auto"/>
        <w:ind w:firstLine="480" w:firstLineChars="200"/>
        <w:rPr>
          <w:rFonts w:ascii="仿宋" w:hAnsi="仿宋"/>
        </w:rPr>
      </w:pPr>
      <w:r>
        <w:rPr>
          <w:rFonts w:hint="eastAsia" w:ascii="仿宋" w:hAnsi="仿宋"/>
        </w:rPr>
        <w:t>（十）法律、行政法规和中国证监会规定禁止的其他行为。</w:t>
      </w:r>
    </w:p>
    <w:p>
      <w:pPr>
        <w:spacing w:line="360" w:lineRule="auto"/>
        <w:ind w:firstLine="480" w:firstLineChars="200"/>
        <w:rPr>
          <w:rFonts w:ascii="仿宋" w:hAnsi="仿宋"/>
        </w:rPr>
      </w:pPr>
    </w:p>
    <w:p>
      <w:pPr>
        <w:pStyle w:val="4"/>
        <w:spacing w:before="0" w:after="0" w:line="360" w:lineRule="auto"/>
        <w:rPr>
          <w:rFonts w:ascii="仿宋" w:hAnsi="仿宋"/>
          <w:szCs w:val="24"/>
        </w:rPr>
      </w:pPr>
      <w:bookmarkStart w:id="441" w:name="_Toc3896821"/>
      <w:r>
        <w:rPr>
          <w:rFonts w:hint="eastAsia" w:ascii="仿宋" w:hAnsi="仿宋"/>
          <w:szCs w:val="24"/>
        </w:rPr>
        <w:t>（七）资产管理业务的委托终止</w:t>
      </w:r>
      <w:bookmarkEnd w:id="441"/>
    </w:p>
    <w:p>
      <w:pPr>
        <w:spacing w:line="360" w:lineRule="auto"/>
        <w:ind w:firstLine="480" w:firstLineChars="200"/>
        <w:rPr>
          <w:rFonts w:ascii="仿宋" w:hAnsi="仿宋"/>
          <w:b/>
        </w:rPr>
      </w:pPr>
      <w:r>
        <w:rPr>
          <w:rFonts w:hint="eastAsia" w:ascii="仿宋" w:hAnsi="仿宋"/>
        </w:rPr>
        <w:t>依据：《证券期货经营机构私募资产管理业务管理办法》</w:t>
      </w:r>
    </w:p>
    <w:p>
      <w:pPr>
        <w:spacing w:line="360" w:lineRule="auto"/>
        <w:ind w:firstLine="480" w:firstLineChars="200"/>
        <w:rPr>
          <w:rFonts w:ascii="仿宋" w:hAnsi="仿宋"/>
        </w:rPr>
      </w:pPr>
      <w:r>
        <w:rPr>
          <w:rFonts w:hint="eastAsia" w:ascii="仿宋" w:hAnsi="仿宋"/>
        </w:rPr>
        <w:t>第五十五条 有下列情形之一的，资产管理计划终止：</w:t>
      </w:r>
    </w:p>
    <w:p>
      <w:pPr>
        <w:spacing w:line="360" w:lineRule="auto"/>
        <w:ind w:firstLine="480" w:firstLineChars="200"/>
        <w:rPr>
          <w:rFonts w:ascii="仿宋" w:hAnsi="仿宋"/>
        </w:rPr>
      </w:pPr>
      <w:r>
        <w:rPr>
          <w:rFonts w:hint="eastAsia" w:ascii="仿宋" w:hAnsi="仿宋"/>
        </w:rPr>
        <w:t>（一）资产管理计划存续期届满且不展期；</w:t>
      </w:r>
    </w:p>
    <w:p>
      <w:pPr>
        <w:spacing w:line="360" w:lineRule="auto"/>
        <w:ind w:firstLine="480" w:firstLineChars="200"/>
        <w:rPr>
          <w:rFonts w:ascii="仿宋" w:hAnsi="仿宋"/>
        </w:rPr>
      </w:pPr>
      <w:r>
        <w:rPr>
          <w:rFonts w:hint="eastAsia" w:ascii="仿宋" w:hAnsi="仿宋"/>
        </w:rPr>
        <w:t>（二）证券期货经营机构被依法撤销资产管理业务资格或者依法解散、被撤销、被宣告破产，且在六个月内没有新的管理人承接；</w:t>
      </w:r>
    </w:p>
    <w:p>
      <w:pPr>
        <w:spacing w:line="360" w:lineRule="auto"/>
        <w:ind w:firstLine="480" w:firstLineChars="200"/>
        <w:rPr>
          <w:rFonts w:ascii="仿宋" w:hAnsi="仿宋"/>
        </w:rPr>
      </w:pPr>
      <w:r>
        <w:rPr>
          <w:rFonts w:hint="eastAsia" w:ascii="仿宋" w:hAnsi="仿宋"/>
        </w:rPr>
        <w:t>（三）托管人被依法撤销基金托管资格或者依法解散、被撤销、被宣告破产，且在六个月内没有新的托管人承接；</w:t>
      </w:r>
    </w:p>
    <w:p>
      <w:pPr>
        <w:spacing w:line="360" w:lineRule="auto"/>
        <w:ind w:firstLine="480" w:firstLineChars="200"/>
        <w:rPr>
          <w:rFonts w:ascii="仿宋" w:hAnsi="仿宋"/>
        </w:rPr>
      </w:pPr>
      <w:r>
        <w:rPr>
          <w:rFonts w:hint="eastAsia" w:ascii="仿宋" w:hAnsi="仿宋"/>
        </w:rPr>
        <w:t>（四）经全体投资者、 证券期货经营机构和托管人协商一致决定终止的；</w:t>
      </w:r>
    </w:p>
    <w:p>
      <w:pPr>
        <w:spacing w:line="360" w:lineRule="auto"/>
        <w:ind w:firstLine="480" w:firstLineChars="200"/>
        <w:rPr>
          <w:rFonts w:ascii="仿宋" w:hAnsi="仿宋"/>
        </w:rPr>
      </w:pPr>
      <w:r>
        <w:rPr>
          <w:rFonts w:hint="eastAsia" w:ascii="仿宋" w:hAnsi="仿宋"/>
        </w:rPr>
        <w:t>（五）发生资产管理合同约定的应当终止的情形；</w:t>
      </w:r>
    </w:p>
    <w:p>
      <w:pPr>
        <w:spacing w:line="360" w:lineRule="auto"/>
        <w:ind w:firstLine="480" w:firstLineChars="200"/>
        <w:rPr>
          <w:rFonts w:ascii="仿宋" w:hAnsi="仿宋"/>
        </w:rPr>
      </w:pPr>
      <w:r>
        <w:rPr>
          <w:rFonts w:hint="eastAsia" w:ascii="仿宋" w:hAnsi="仿宋"/>
        </w:rPr>
        <w:t>（六）集合资产管理计划存续期间， 持续五个工作日投资者少于二人；</w:t>
      </w:r>
    </w:p>
    <w:p>
      <w:pPr>
        <w:spacing w:line="360" w:lineRule="auto"/>
        <w:ind w:firstLine="480" w:firstLineChars="200"/>
        <w:rPr>
          <w:rFonts w:ascii="仿宋" w:hAnsi="仿宋"/>
        </w:rPr>
      </w:pPr>
      <w:r>
        <w:rPr>
          <w:rFonts w:hint="eastAsia" w:ascii="仿宋" w:hAnsi="仿宋"/>
        </w:rPr>
        <w:t>（七）法律、行政法规及中国证监会规定的其他情形。</w:t>
      </w:r>
    </w:p>
    <w:p>
      <w:pPr>
        <w:spacing w:line="360" w:lineRule="auto"/>
        <w:ind w:firstLine="480" w:firstLineChars="200"/>
        <w:rPr>
          <w:rFonts w:ascii="仿宋" w:hAnsi="仿宋"/>
        </w:rPr>
      </w:pPr>
      <w:r>
        <w:rPr>
          <w:rFonts w:hint="eastAsia" w:ascii="仿宋" w:hAnsi="仿宋"/>
        </w:rPr>
        <w:t>证券期货经营机构应当自资产管理计划终止之日起五个工作日内报证券投资基金业协会备案，并抄报中国证监会相关派出机构。</w:t>
      </w:r>
    </w:p>
    <w:p>
      <w:pPr>
        <w:spacing w:line="360" w:lineRule="auto"/>
        <w:ind w:firstLine="480" w:firstLineChars="200"/>
        <w:rPr>
          <w:rFonts w:ascii="仿宋" w:hAnsi="仿宋"/>
        </w:rPr>
      </w:pPr>
      <w:r>
        <w:rPr>
          <w:rFonts w:hint="eastAsia" w:ascii="仿宋" w:hAnsi="仿宋"/>
        </w:rPr>
        <w:t>第五十六条 资产管理计划终止的， 证券期货经营机构应当在发生终止情形之日起五个工作日内开始组织清算资产管理计划财产。</w:t>
      </w:r>
    </w:p>
    <w:p>
      <w:pPr>
        <w:spacing w:line="360" w:lineRule="auto"/>
        <w:ind w:firstLine="480" w:firstLineChars="200"/>
        <w:rPr>
          <w:rFonts w:ascii="仿宋" w:hAnsi="仿宋"/>
        </w:rPr>
      </w:pPr>
      <w:r>
        <w:rPr>
          <w:rFonts w:hint="eastAsia" w:ascii="仿宋" w:hAnsi="仿宋"/>
        </w:rPr>
        <w:t>清算后的剩余财产， 集合资产管理计划应当按照投资者持有份额占总份额的比例或者资产管理合同的约定， 以货币资金形式分配给投资者，中国证监会另有规定的除外；单一资产管理计划应当按照合同约定的形式将全部财产交还投资者自行管理。证券期货经营机构应当在资产管理计划清算结束后五个工作日内将清算结果报证券投资基金业协会备案，并抄报中国证监会相关派出机构。</w:t>
      </w:r>
    </w:p>
    <w:p>
      <w:pPr>
        <w:spacing w:line="360" w:lineRule="auto"/>
        <w:ind w:firstLine="480" w:firstLineChars="200"/>
        <w:rPr>
          <w:rFonts w:ascii="仿宋" w:hAnsi="仿宋"/>
        </w:rPr>
      </w:pPr>
      <w:r>
        <w:rPr>
          <w:rFonts w:hint="eastAsia" w:ascii="仿宋" w:hAnsi="仿宋"/>
        </w:rPr>
        <w:t>资产管理计划因委托财产流动性受限等原因延期清算的，证券期货经营机构应当及时向中国证监会相关派出机构和证券投资基金业协会报告。</w:t>
      </w:r>
    </w:p>
    <w:p>
      <w:pPr>
        <w:spacing w:line="360" w:lineRule="auto"/>
        <w:ind w:firstLine="480" w:firstLineChars="200"/>
        <w:rPr>
          <w:rFonts w:ascii="仿宋" w:hAnsi="仿宋"/>
        </w:rPr>
      </w:pPr>
    </w:p>
    <w:p>
      <w:pPr>
        <w:pStyle w:val="4"/>
        <w:spacing w:before="0" w:after="0" w:line="360" w:lineRule="auto"/>
        <w:rPr>
          <w:rFonts w:ascii="仿宋" w:hAnsi="仿宋"/>
          <w:szCs w:val="24"/>
        </w:rPr>
      </w:pPr>
      <w:bookmarkStart w:id="442" w:name="_Toc3896822"/>
      <w:r>
        <w:rPr>
          <w:rFonts w:hint="eastAsia" w:ascii="仿宋" w:hAnsi="仿宋"/>
          <w:szCs w:val="24"/>
        </w:rPr>
        <w:t>（八）关于资产管理业务信息公示的要求</w:t>
      </w:r>
      <w:bookmarkEnd w:id="442"/>
    </w:p>
    <w:p>
      <w:pPr>
        <w:spacing w:line="360" w:lineRule="auto"/>
        <w:ind w:firstLine="480" w:firstLineChars="200"/>
        <w:rPr>
          <w:rFonts w:ascii="仿宋" w:hAnsi="仿宋"/>
        </w:rPr>
      </w:pPr>
      <w:r>
        <w:rPr>
          <w:rFonts w:hint="eastAsia" w:ascii="仿宋" w:hAnsi="仿宋"/>
        </w:rPr>
        <w:t>依据：《证券期货经营机构私募资产管理计划运作管理规定》</w:t>
      </w:r>
    </w:p>
    <w:p>
      <w:pPr>
        <w:spacing w:line="360" w:lineRule="auto"/>
        <w:ind w:firstLine="480" w:firstLineChars="200"/>
        <w:rPr>
          <w:rFonts w:ascii="仿宋" w:hAnsi="仿宋"/>
        </w:rPr>
      </w:pPr>
      <w:r>
        <w:rPr>
          <w:rFonts w:hint="eastAsia" w:ascii="仿宋" w:hAnsi="仿宋"/>
        </w:rPr>
        <w:t>第四十条 证券期货经营机构应当在本公司及相关行业协会网站对其私募资产管理业务资格及从业人员信息等基本情况进行公示。</w:t>
      </w:r>
    </w:p>
    <w:p>
      <w:pPr>
        <w:spacing w:line="360" w:lineRule="auto"/>
        <w:ind w:firstLine="480" w:firstLineChars="200"/>
        <w:rPr>
          <w:rFonts w:ascii="仿宋" w:hAnsi="仿宋"/>
        </w:rPr>
      </w:pPr>
    </w:p>
    <w:p>
      <w:pPr>
        <w:pStyle w:val="4"/>
        <w:spacing w:before="0" w:after="0" w:line="360" w:lineRule="auto"/>
        <w:rPr>
          <w:rFonts w:ascii="仿宋" w:hAnsi="仿宋"/>
          <w:szCs w:val="24"/>
        </w:rPr>
      </w:pPr>
      <w:bookmarkStart w:id="443" w:name="_Toc3896823"/>
      <w:r>
        <w:rPr>
          <w:rFonts w:hint="eastAsia" w:ascii="仿宋" w:hAnsi="仿宋"/>
          <w:szCs w:val="24"/>
        </w:rPr>
        <w:t>（九）期货公司应对可疑交易和不公平交易进行监控，防止利益输送的行为</w:t>
      </w:r>
      <w:bookmarkEnd w:id="443"/>
    </w:p>
    <w:p>
      <w:pPr>
        <w:spacing w:line="360" w:lineRule="auto"/>
        <w:ind w:firstLine="480" w:firstLineChars="200"/>
        <w:rPr>
          <w:rFonts w:ascii="仿宋" w:hAnsi="仿宋"/>
        </w:rPr>
      </w:pPr>
      <w:r>
        <w:rPr>
          <w:rFonts w:hint="eastAsia" w:ascii="仿宋" w:hAnsi="仿宋"/>
        </w:rPr>
        <w:t>依据：《证券期货经营机构私募资产管理业务管理办法》</w:t>
      </w:r>
    </w:p>
    <w:p>
      <w:pPr>
        <w:spacing w:line="360" w:lineRule="auto"/>
        <w:ind w:firstLine="480" w:firstLineChars="200"/>
        <w:rPr>
          <w:rFonts w:ascii="仿宋" w:hAnsi="仿宋"/>
        </w:rPr>
      </w:pPr>
      <w:r>
        <w:rPr>
          <w:rFonts w:hint="eastAsia" w:ascii="仿宋" w:hAnsi="仿宋"/>
        </w:rPr>
        <w:t>第六十四条 证券期货经营机构应当建立公平交易制度及异常交易监控机制， 公平对待所管理的不同资产，对投资交易行为进行监控、分析、评估、核查，监督投资交易的过程和结果，保证公平交易原则的实现，不得开展可能导致不公平交易和利益输送的交易行为。</w:t>
      </w:r>
    </w:p>
    <w:p>
      <w:pPr>
        <w:spacing w:line="360" w:lineRule="auto"/>
        <w:ind w:firstLine="480" w:firstLineChars="200"/>
        <w:rPr>
          <w:rFonts w:ascii="仿宋" w:hAnsi="仿宋"/>
        </w:rPr>
      </w:pPr>
      <w:r>
        <w:rPr>
          <w:rFonts w:hint="eastAsia" w:ascii="仿宋" w:hAnsi="仿宋"/>
        </w:rPr>
        <w:t>证券期货经营机构应当对不同资产管理计划之间发生的同向交易和反向交易进行监控。 同一资产管理计划不得在同一交易日内进行反向交易。确因投资策略或流动性等需要发生同日反向交易的，应要求投资经理提供决策依据，并留存书面记录备查。</w:t>
      </w:r>
    </w:p>
    <w:p>
      <w:pPr>
        <w:spacing w:line="360" w:lineRule="auto"/>
        <w:ind w:firstLine="480" w:firstLineChars="200"/>
        <w:rPr>
          <w:rFonts w:ascii="仿宋" w:hAnsi="仿宋"/>
        </w:rPr>
      </w:pPr>
      <w:r>
        <w:rPr>
          <w:rFonts w:hint="eastAsia" w:ascii="仿宋" w:hAnsi="仿宋"/>
        </w:rPr>
        <w:t>资产管理计划依法投资于本办法第三十七条第（三）项规定资产的，在同一交易日内进行反向交易的，不受前款规定限制</w:t>
      </w:r>
    </w:p>
    <w:p>
      <w:pPr>
        <w:spacing w:line="360" w:lineRule="auto"/>
        <w:ind w:firstLine="480" w:firstLineChars="200"/>
        <w:rPr>
          <w:rFonts w:ascii="仿宋" w:hAnsi="仿宋"/>
        </w:rPr>
      </w:pPr>
    </w:p>
    <w:p>
      <w:pPr>
        <w:pStyle w:val="4"/>
        <w:spacing w:before="0" w:after="0" w:line="360" w:lineRule="auto"/>
        <w:rPr>
          <w:rFonts w:ascii="仿宋" w:hAnsi="仿宋"/>
          <w:szCs w:val="24"/>
        </w:rPr>
      </w:pPr>
      <w:bookmarkStart w:id="444" w:name="_Toc445044425"/>
      <w:bookmarkStart w:id="445" w:name="_Toc3896824"/>
      <w:r>
        <w:rPr>
          <w:rFonts w:hint="eastAsia" w:ascii="仿宋" w:hAnsi="仿宋"/>
          <w:szCs w:val="24"/>
        </w:rPr>
        <w:t>（十）关于资产管理业务投资范围</w:t>
      </w:r>
      <w:bookmarkEnd w:id="444"/>
      <w:r>
        <w:rPr>
          <w:rFonts w:hint="eastAsia" w:ascii="仿宋" w:hAnsi="仿宋"/>
          <w:szCs w:val="24"/>
        </w:rPr>
        <w:t>的要求</w:t>
      </w:r>
      <w:bookmarkEnd w:id="445"/>
    </w:p>
    <w:p>
      <w:pPr>
        <w:spacing w:line="360" w:lineRule="auto"/>
        <w:ind w:firstLine="480" w:firstLineChars="200"/>
        <w:rPr>
          <w:rFonts w:ascii="仿宋" w:hAnsi="仿宋"/>
        </w:rPr>
      </w:pPr>
      <w:r>
        <w:rPr>
          <w:rFonts w:hint="eastAsia" w:ascii="仿宋" w:hAnsi="仿宋"/>
        </w:rPr>
        <w:t>依据：《证券期货经营机构私募资产管理业务管理办法》</w:t>
      </w:r>
    </w:p>
    <w:p>
      <w:pPr>
        <w:spacing w:line="360" w:lineRule="auto"/>
        <w:ind w:firstLine="480" w:firstLineChars="200"/>
        <w:rPr>
          <w:rFonts w:ascii="仿宋" w:hAnsi="仿宋"/>
        </w:rPr>
      </w:pPr>
      <w:r>
        <w:rPr>
          <w:rFonts w:hint="eastAsia" w:ascii="仿宋" w:hAnsi="仿宋"/>
        </w:rPr>
        <w:t>第三十七条 资产管理计划可以投资于以下资产：</w:t>
      </w:r>
    </w:p>
    <w:p>
      <w:pPr>
        <w:spacing w:line="360" w:lineRule="auto"/>
        <w:ind w:firstLine="480" w:firstLineChars="200"/>
        <w:rPr>
          <w:rFonts w:ascii="仿宋" w:hAnsi="仿宋"/>
        </w:rPr>
      </w:pPr>
      <w:r>
        <w:rPr>
          <w:rFonts w:hint="eastAsia" w:ascii="仿宋" w:hAnsi="仿宋"/>
        </w:rPr>
        <w:t>（一）银行存款、同业存单，以及符合《指导意见》规定的标准化债权类资产，包括但不限于在证券交易所、银行间市场等国务院同意设立的交易场所交易的可以划分为均等份额、具有合理公允价值和完善流动性机制的债券、中央银行票据、资产支持证券、非金融企业债务融资工具等；</w:t>
      </w:r>
    </w:p>
    <w:p>
      <w:pPr>
        <w:spacing w:line="360" w:lineRule="auto"/>
        <w:ind w:firstLine="480" w:firstLineChars="200"/>
        <w:rPr>
          <w:rFonts w:ascii="仿宋" w:hAnsi="仿宋"/>
        </w:rPr>
      </w:pPr>
      <w:r>
        <w:rPr>
          <w:rFonts w:hint="eastAsia" w:ascii="仿宋" w:hAnsi="仿宋"/>
        </w:rPr>
        <w:t>（二）上市公司股票、存托凭证，以及中国证监会认可的其他标准化股权类资产；</w:t>
      </w:r>
    </w:p>
    <w:p>
      <w:pPr>
        <w:spacing w:line="360" w:lineRule="auto"/>
        <w:ind w:firstLine="480" w:firstLineChars="200"/>
        <w:rPr>
          <w:rFonts w:ascii="仿宋" w:hAnsi="仿宋"/>
        </w:rPr>
      </w:pPr>
      <w:r>
        <w:rPr>
          <w:rFonts w:hint="eastAsia" w:ascii="仿宋" w:hAnsi="仿宋"/>
        </w:rPr>
        <w:t>（三）在证券期货交易所等国务院同意设立的交易场所集中交易清算的期货及期权合约等标准化商品及金融衍生品类资产；</w:t>
      </w:r>
    </w:p>
    <w:p>
      <w:pPr>
        <w:spacing w:line="360" w:lineRule="auto"/>
        <w:ind w:firstLine="480" w:firstLineChars="200"/>
        <w:rPr>
          <w:rFonts w:ascii="仿宋" w:hAnsi="仿宋"/>
        </w:rPr>
      </w:pPr>
      <w:r>
        <w:rPr>
          <w:rFonts w:hint="eastAsia" w:ascii="仿宋" w:hAnsi="仿宋"/>
        </w:rPr>
        <w:t>（四）公开募集证券投资基金（以下简称公募基金），以及中国证监会认可的比照公募基金管理的资产管理产品；</w:t>
      </w:r>
    </w:p>
    <w:p>
      <w:pPr>
        <w:spacing w:line="360" w:lineRule="auto"/>
        <w:ind w:firstLine="480" w:firstLineChars="200"/>
        <w:rPr>
          <w:rFonts w:ascii="仿宋" w:hAnsi="仿宋"/>
        </w:rPr>
      </w:pPr>
      <w:r>
        <w:rPr>
          <w:rFonts w:hint="eastAsia" w:ascii="仿宋" w:hAnsi="仿宋"/>
        </w:rPr>
        <w:t>（五）第（一）至（三）项规定以外的非标准化债权类资产、股权类资产、商品及金融衍生品类资产；</w:t>
      </w:r>
    </w:p>
    <w:p>
      <w:pPr>
        <w:spacing w:line="360" w:lineRule="auto"/>
        <w:ind w:firstLine="480" w:firstLineChars="200"/>
        <w:rPr>
          <w:rFonts w:ascii="仿宋" w:hAnsi="仿宋"/>
        </w:rPr>
      </w:pPr>
      <w:r>
        <w:rPr>
          <w:rFonts w:hint="eastAsia" w:ascii="仿宋" w:hAnsi="仿宋"/>
        </w:rPr>
        <w:t>（六）第（四）项规定以外的其他受国务院金融监督管理机构监管的机构发行的资产管理产品；</w:t>
      </w:r>
    </w:p>
    <w:p>
      <w:pPr>
        <w:spacing w:line="360" w:lineRule="auto"/>
        <w:ind w:firstLine="480" w:firstLineChars="200"/>
        <w:rPr>
          <w:rFonts w:ascii="仿宋" w:hAnsi="仿宋"/>
        </w:rPr>
      </w:pPr>
      <w:r>
        <w:rPr>
          <w:rFonts w:hint="eastAsia" w:ascii="仿宋" w:hAnsi="仿宋"/>
        </w:rPr>
        <w:t>（七）中国证监会认可的其他资产。</w:t>
      </w:r>
    </w:p>
    <w:p>
      <w:pPr>
        <w:spacing w:line="360" w:lineRule="auto"/>
        <w:ind w:firstLine="480" w:firstLineChars="200"/>
        <w:rPr>
          <w:rFonts w:ascii="仿宋" w:hAnsi="仿宋"/>
        </w:rPr>
      </w:pPr>
      <w:r>
        <w:rPr>
          <w:rFonts w:hint="eastAsia" w:ascii="仿宋" w:hAnsi="仿宋"/>
        </w:rPr>
        <w:t>前款第（一）项至第（四）项为标准化资产，第（五）项至第（六）项为非标准化资产。</w:t>
      </w:r>
    </w:p>
    <w:p>
      <w:pPr>
        <w:spacing w:line="360" w:lineRule="auto"/>
        <w:ind w:firstLine="480" w:firstLineChars="200"/>
        <w:rPr>
          <w:rFonts w:ascii="仿宋" w:hAnsi="仿宋"/>
        </w:rPr>
      </w:pPr>
      <w:r>
        <w:rPr>
          <w:rFonts w:hint="eastAsia" w:ascii="仿宋" w:hAnsi="仿宋"/>
        </w:rPr>
        <w:t>中国证监会对证券期货经营机构从事私募资产管理业务投资于本条第一款第（五）项规定资产另有规定的，适用其规定。</w:t>
      </w:r>
    </w:p>
    <w:p>
      <w:pPr>
        <w:spacing w:line="360" w:lineRule="auto"/>
        <w:ind w:firstLine="480" w:firstLineChars="200"/>
        <w:rPr>
          <w:rFonts w:ascii="仿宋" w:hAnsi="仿宋"/>
        </w:rPr>
      </w:pPr>
      <w:r>
        <w:rPr>
          <w:rFonts w:hint="eastAsia" w:ascii="仿宋" w:hAnsi="仿宋"/>
        </w:rPr>
        <w:t>依据：《证券期货经营机构私募资产管理计划运作管理规定》</w:t>
      </w:r>
    </w:p>
    <w:p>
      <w:pPr>
        <w:spacing w:line="360" w:lineRule="auto"/>
        <w:ind w:firstLine="480" w:firstLineChars="200"/>
        <w:rPr>
          <w:rFonts w:ascii="仿宋" w:hAnsi="仿宋"/>
        </w:rPr>
      </w:pPr>
      <w:r>
        <w:rPr>
          <w:rFonts w:hint="eastAsia" w:ascii="仿宋" w:hAnsi="仿宋"/>
        </w:rPr>
        <w:t>第十七条 期货公司及其子公司从事私募资产管理业务，不得投资于《管理办法》第三十七条第（五）项规定资产，中国证监会另有规定的除外。</w:t>
      </w:r>
    </w:p>
    <w:p>
      <w:pPr>
        <w:spacing w:line="360" w:lineRule="auto"/>
        <w:ind w:firstLine="480" w:firstLineChars="200"/>
        <w:rPr>
          <w:rFonts w:ascii="仿宋" w:hAnsi="仿宋"/>
        </w:rPr>
      </w:pPr>
      <w:r>
        <w:rPr>
          <w:rFonts w:hint="eastAsia" w:ascii="仿宋" w:hAnsi="仿宋"/>
        </w:rPr>
        <w:t>基金管理公司从事私募资产管理业务投资于《管理办法》第三十七条第（五）项规定资产的，应当通过设立专门的子公司进行。</w:t>
      </w:r>
    </w:p>
    <w:p>
      <w:pPr>
        <w:spacing w:line="360" w:lineRule="auto"/>
        <w:ind w:firstLine="480" w:firstLineChars="200"/>
        <w:rPr>
          <w:rFonts w:ascii="仿宋" w:hAnsi="仿宋"/>
        </w:rPr>
      </w:pPr>
      <w:r>
        <w:rPr>
          <w:rFonts w:hint="eastAsia" w:ascii="仿宋" w:hAnsi="仿宋"/>
        </w:rPr>
        <w:t>期货公司及其子公司、基金管理公司从事私募资产管理业务，不得通过投资于《管理办法》第三十七条第（六）项规定资产变相扩大投资范围或者规避监管要求。</w:t>
      </w:r>
    </w:p>
    <w:p>
      <w:pPr>
        <w:spacing w:line="360" w:lineRule="auto"/>
        <w:ind w:firstLine="480" w:firstLineChars="200"/>
        <w:rPr>
          <w:rFonts w:ascii="仿宋" w:hAnsi="仿宋"/>
        </w:rPr>
      </w:pPr>
    </w:p>
    <w:p>
      <w:pPr>
        <w:pStyle w:val="4"/>
        <w:spacing w:before="0" w:after="0" w:line="360" w:lineRule="auto"/>
        <w:rPr>
          <w:rFonts w:ascii="仿宋" w:hAnsi="仿宋"/>
          <w:szCs w:val="24"/>
        </w:rPr>
      </w:pPr>
      <w:bookmarkStart w:id="446" w:name="_Toc445044427"/>
      <w:bookmarkStart w:id="447" w:name="_Toc3896825"/>
      <w:r>
        <w:rPr>
          <w:rFonts w:hint="eastAsia" w:ascii="仿宋" w:hAnsi="仿宋"/>
          <w:szCs w:val="24"/>
        </w:rPr>
        <w:t>（十一）关于资产管理业务从业主体的要求</w:t>
      </w:r>
      <w:bookmarkEnd w:id="446"/>
      <w:bookmarkEnd w:id="447"/>
    </w:p>
    <w:p>
      <w:pPr>
        <w:spacing w:line="360" w:lineRule="auto"/>
        <w:ind w:firstLine="480" w:firstLineChars="200"/>
        <w:rPr>
          <w:rFonts w:ascii="仿宋" w:hAnsi="仿宋"/>
        </w:rPr>
      </w:pPr>
      <w:r>
        <w:rPr>
          <w:rFonts w:hint="eastAsia" w:ascii="仿宋" w:hAnsi="仿宋"/>
        </w:rPr>
        <w:t>依据：《证券期货经营机构私募资产管理业务管理办法》</w:t>
      </w:r>
    </w:p>
    <w:p>
      <w:pPr>
        <w:spacing w:line="360" w:lineRule="auto"/>
        <w:ind w:firstLine="480" w:firstLineChars="200"/>
        <w:rPr>
          <w:rFonts w:ascii="仿宋" w:hAnsi="仿宋"/>
        </w:rPr>
      </w:pPr>
      <w:r>
        <w:rPr>
          <w:rFonts w:hint="eastAsia" w:ascii="仿宋" w:hAnsi="仿宋"/>
        </w:rPr>
        <w:t>第二条 在中华人民共和国境内， 证券期货经营机构非公开募集资金或者接受财产委托，设立私募资产管理计划（以下简称资产管理计划） 并担任管理人，由托管机构担任托管人， 依照法律法规和资产管理合同的约定，为投资者的利益进行投资活动，适用本办法。</w:t>
      </w:r>
    </w:p>
    <w:p>
      <w:pPr>
        <w:spacing w:line="360" w:lineRule="auto"/>
        <w:ind w:firstLine="480" w:firstLineChars="200"/>
        <w:rPr>
          <w:rFonts w:ascii="仿宋" w:hAnsi="仿宋"/>
        </w:rPr>
      </w:pPr>
      <w:r>
        <w:rPr>
          <w:rFonts w:hint="eastAsia" w:ascii="仿宋" w:hAnsi="仿宋"/>
        </w:rPr>
        <w:t>本办法所称证券期货经营机构，是指证券公司、基金管理公司、期货公司及前述机构依法设立的从事私募资产管理业务的子公司。</w:t>
      </w:r>
    </w:p>
    <w:p>
      <w:pPr>
        <w:spacing w:line="360" w:lineRule="auto"/>
        <w:ind w:firstLine="480" w:firstLineChars="200"/>
        <w:rPr>
          <w:rFonts w:ascii="仿宋" w:hAnsi="仿宋"/>
        </w:rPr>
      </w:pPr>
      <w:r>
        <w:rPr>
          <w:rFonts w:hint="eastAsia" w:ascii="仿宋" w:hAnsi="仿宋"/>
        </w:rPr>
        <w:t>证券期货经营机构非公开募集资金开展资产证券化业务，由中国证券监督管理委员会（以下简称中国证监会） 另行规定。第十条 证券期货经营机构从事私募资产管理业务，应当符合以下条件：</w:t>
      </w:r>
    </w:p>
    <w:p>
      <w:pPr>
        <w:spacing w:line="360" w:lineRule="auto"/>
        <w:ind w:firstLine="480" w:firstLineChars="200"/>
        <w:rPr>
          <w:rFonts w:ascii="仿宋" w:hAnsi="仿宋"/>
        </w:rPr>
      </w:pPr>
      <w:r>
        <w:rPr>
          <w:rFonts w:hint="eastAsia" w:ascii="仿宋" w:hAnsi="仿宋"/>
        </w:rPr>
        <w:t>（一）净资产、净资本等财务和风险控制指标符合法律、行政法规和中国证监会的规定；</w:t>
      </w:r>
    </w:p>
    <w:p>
      <w:pPr>
        <w:spacing w:line="360" w:lineRule="auto"/>
        <w:ind w:firstLine="480" w:firstLineChars="200"/>
        <w:rPr>
          <w:rFonts w:ascii="仿宋" w:hAnsi="仿宋"/>
        </w:rPr>
      </w:pPr>
      <w:r>
        <w:rPr>
          <w:rFonts w:hint="eastAsia" w:ascii="仿宋" w:hAnsi="仿宋"/>
        </w:rPr>
        <w:t>（二）法人治理结构良好，内部控制、合规管理、风险管理制度完备；</w:t>
      </w:r>
    </w:p>
    <w:p>
      <w:pPr>
        <w:spacing w:line="360" w:lineRule="auto"/>
        <w:ind w:firstLine="480" w:firstLineChars="200"/>
        <w:rPr>
          <w:rFonts w:ascii="仿宋" w:hAnsi="仿宋"/>
        </w:rPr>
      </w:pPr>
      <w:r>
        <w:rPr>
          <w:rFonts w:hint="eastAsia" w:ascii="仿宋" w:hAnsi="仿宋"/>
        </w:rPr>
        <w:t>（三）具备符合条件的高级管理人员和三名以上投资经理；</w:t>
      </w:r>
    </w:p>
    <w:p>
      <w:pPr>
        <w:spacing w:line="360" w:lineRule="auto"/>
        <w:ind w:firstLine="480" w:firstLineChars="200"/>
        <w:rPr>
          <w:rFonts w:ascii="仿宋" w:hAnsi="仿宋"/>
        </w:rPr>
      </w:pPr>
      <w:r>
        <w:rPr>
          <w:rFonts w:hint="eastAsia" w:ascii="仿宋" w:hAnsi="仿宋"/>
        </w:rPr>
        <w:t>（四）具有投资研究部门，且专职从事投资研究的人员不少于三人；</w:t>
      </w:r>
    </w:p>
    <w:p>
      <w:pPr>
        <w:spacing w:line="360" w:lineRule="auto"/>
        <w:ind w:firstLine="480" w:firstLineChars="200"/>
        <w:rPr>
          <w:rFonts w:ascii="仿宋" w:hAnsi="仿宋"/>
        </w:rPr>
      </w:pPr>
      <w:r>
        <w:rPr>
          <w:rFonts w:hint="eastAsia" w:ascii="仿宋" w:hAnsi="仿宋"/>
        </w:rPr>
        <w:t>（五）具有符合要求的营业场所、安全防范设施、信息技术系统；</w:t>
      </w:r>
    </w:p>
    <w:p>
      <w:pPr>
        <w:spacing w:line="360" w:lineRule="auto"/>
        <w:ind w:firstLine="480" w:firstLineChars="200"/>
        <w:rPr>
          <w:rFonts w:ascii="仿宋" w:hAnsi="仿宋"/>
        </w:rPr>
      </w:pPr>
      <w:r>
        <w:rPr>
          <w:rFonts w:hint="eastAsia" w:ascii="仿宋" w:hAnsi="仿宋"/>
        </w:rPr>
        <w:t>（六）最近两年未因重大违法违规行为被行政处罚或者刑事处罚，最近一年未因重大违法违规行为被监管机构采取行政监管措施，无因涉嫌重大违法违规正受到监管机构或有权机关立案调查的情形；</w:t>
      </w:r>
    </w:p>
    <w:p>
      <w:pPr>
        <w:spacing w:line="360" w:lineRule="auto"/>
        <w:ind w:firstLine="480" w:firstLineChars="200"/>
        <w:rPr>
          <w:rFonts w:ascii="仿宋" w:hAnsi="仿宋"/>
        </w:rPr>
      </w:pPr>
      <w:r>
        <w:rPr>
          <w:rFonts w:hint="eastAsia" w:ascii="仿宋" w:hAnsi="仿宋"/>
        </w:rPr>
        <w:t>（七）中国证监会根据审慎监管原则规定的其他条件。</w:t>
      </w:r>
    </w:p>
    <w:p>
      <w:pPr>
        <w:spacing w:line="360" w:lineRule="auto"/>
        <w:ind w:firstLine="480" w:firstLineChars="200"/>
        <w:rPr>
          <w:rFonts w:ascii="仿宋" w:hAnsi="仿宋"/>
        </w:rPr>
      </w:pPr>
      <w:r>
        <w:rPr>
          <w:rFonts w:hint="eastAsia" w:ascii="仿宋" w:hAnsi="仿宋"/>
        </w:rPr>
        <w:t>证券公司、基金管理公司、期货公司设立子公司从事私募资产管理业务， 并由其投资研究部门为子公司提供投资研究服务的，视为符合前款第（四）项规定的条件</w:t>
      </w:r>
    </w:p>
    <w:p>
      <w:pPr>
        <w:spacing w:line="360" w:lineRule="auto"/>
        <w:ind w:firstLine="480" w:firstLineChars="200"/>
        <w:rPr>
          <w:rFonts w:ascii="仿宋" w:hAnsi="仿宋"/>
        </w:rPr>
      </w:pPr>
      <w:r>
        <w:rPr>
          <w:rFonts w:hint="eastAsia" w:ascii="仿宋" w:hAnsi="仿宋"/>
        </w:rPr>
        <w:t>依据：《期货公司资产管理业务管理规则（试行）》第二条、第十条、第十二条</w:t>
      </w:r>
    </w:p>
    <w:p>
      <w:pPr>
        <w:spacing w:line="360" w:lineRule="auto"/>
        <w:ind w:firstLine="480" w:firstLineChars="200"/>
        <w:rPr>
          <w:rFonts w:ascii="仿宋" w:hAnsi="仿宋"/>
        </w:rPr>
      </w:pPr>
      <w:r>
        <w:rPr>
          <w:rFonts w:hint="eastAsia" w:ascii="仿宋" w:hAnsi="仿宋"/>
        </w:rPr>
        <w:t>第二条 期货公司及其依法设立的专门从事资产管理业务的子公司（以下简称子公司）在中华人民共和国境内非公开募集资金或者接受财产委托设立资产管理计划并担任资产管理人，根据资产管理合同的约定，为资产委托人的利益进行投资活动，适用本规则。</w:t>
      </w:r>
    </w:p>
    <w:p>
      <w:pPr>
        <w:spacing w:line="360" w:lineRule="auto"/>
        <w:ind w:firstLine="480" w:firstLineChars="200"/>
        <w:rPr>
          <w:rFonts w:ascii="仿宋" w:hAnsi="仿宋"/>
        </w:rPr>
      </w:pPr>
      <w:r>
        <w:rPr>
          <w:rFonts w:hint="eastAsia" w:ascii="仿宋" w:hAnsi="仿宋"/>
        </w:rPr>
        <w:t>第十条 符合第八条规定的期货公司可以设立子公司开展资产管理业务。</w:t>
      </w:r>
    </w:p>
    <w:p>
      <w:pPr>
        <w:spacing w:line="360" w:lineRule="auto"/>
        <w:ind w:firstLine="480" w:firstLineChars="200"/>
        <w:rPr>
          <w:rFonts w:ascii="仿宋" w:hAnsi="仿宋"/>
        </w:rPr>
      </w:pPr>
      <w:r>
        <w:rPr>
          <w:rFonts w:hint="eastAsia" w:ascii="仿宋" w:hAnsi="仿宋"/>
        </w:rPr>
        <w:t>第十二条 期货公司与其专门从事资产管理业务的子公司不得同时经营资产管理业务。</w:t>
      </w:r>
    </w:p>
    <w:p>
      <w:pPr>
        <w:spacing w:line="360" w:lineRule="auto"/>
        <w:ind w:firstLine="480" w:firstLineChars="200"/>
        <w:rPr>
          <w:rFonts w:ascii="仿宋" w:hAnsi="仿宋"/>
        </w:rPr>
      </w:pPr>
    </w:p>
    <w:p>
      <w:pPr>
        <w:pStyle w:val="4"/>
        <w:spacing w:before="0" w:after="0" w:line="360" w:lineRule="auto"/>
        <w:rPr>
          <w:rFonts w:ascii="仿宋" w:hAnsi="仿宋"/>
          <w:szCs w:val="24"/>
        </w:rPr>
      </w:pPr>
      <w:bookmarkStart w:id="448" w:name="_Toc3896826"/>
      <w:r>
        <w:rPr>
          <w:rFonts w:hint="eastAsia" w:ascii="仿宋" w:hAnsi="仿宋"/>
          <w:szCs w:val="24"/>
        </w:rPr>
        <w:t>（十二）资产管理业务的投资者要求</w:t>
      </w:r>
      <w:bookmarkEnd w:id="448"/>
    </w:p>
    <w:p>
      <w:pPr>
        <w:spacing w:line="360" w:lineRule="auto"/>
        <w:ind w:firstLine="480" w:firstLineChars="200"/>
        <w:rPr>
          <w:rFonts w:ascii="仿宋" w:hAnsi="仿宋"/>
        </w:rPr>
      </w:pPr>
      <w:r>
        <w:rPr>
          <w:rFonts w:hint="eastAsia" w:ascii="仿宋" w:hAnsi="仿宋"/>
        </w:rPr>
        <w:t>依据:《证券期货经营机构私募资产管理计划运作管理规定》</w:t>
      </w:r>
    </w:p>
    <w:p>
      <w:pPr>
        <w:spacing w:line="360" w:lineRule="auto"/>
        <w:ind w:firstLine="480" w:firstLineChars="200"/>
        <w:rPr>
          <w:rFonts w:ascii="仿宋" w:hAnsi="仿宋"/>
        </w:rPr>
      </w:pPr>
      <w:r>
        <w:rPr>
          <w:rFonts w:hint="eastAsia" w:ascii="仿宋" w:hAnsi="仿宋"/>
        </w:rPr>
        <w:t>第三条 资产管理计划应当向合格投资者非公开募集。 合格投资者是指具备相应风险识别能力和风险承受能力， 投资于单只资产管理计划不低于一定金额且符合下列条件的自然人、 法人或者其他组织：</w:t>
      </w:r>
    </w:p>
    <w:p>
      <w:pPr>
        <w:spacing w:line="360" w:lineRule="auto"/>
        <w:ind w:firstLine="480" w:firstLineChars="200"/>
        <w:rPr>
          <w:rFonts w:ascii="仿宋" w:hAnsi="仿宋"/>
        </w:rPr>
      </w:pPr>
      <w:r>
        <w:rPr>
          <w:rFonts w:hint="eastAsia" w:ascii="仿宋" w:hAnsi="仿宋"/>
        </w:rPr>
        <w:t>（一）具有2年以上投资经历，且满足下列三项条件之一的自然人：家庭金融净资产不低于 300 万元，家庭金融资产不低于500万元，或者近3年本人年均收入不低于40万元；</w:t>
      </w:r>
    </w:p>
    <w:p>
      <w:pPr>
        <w:spacing w:line="360" w:lineRule="auto"/>
        <w:ind w:firstLine="480" w:firstLineChars="200"/>
        <w:rPr>
          <w:rFonts w:ascii="仿宋" w:hAnsi="仿宋"/>
        </w:rPr>
      </w:pPr>
      <w:r>
        <w:rPr>
          <w:rFonts w:hint="eastAsia" w:ascii="仿宋" w:hAnsi="仿宋"/>
        </w:rPr>
        <w:t>（二）最近1年末净资产不低于1000万元的法人单位；</w:t>
      </w:r>
    </w:p>
    <w:p>
      <w:pPr>
        <w:spacing w:line="360" w:lineRule="auto"/>
        <w:ind w:firstLine="480" w:firstLineChars="200"/>
        <w:rPr>
          <w:rFonts w:ascii="仿宋" w:hAnsi="仿宋"/>
        </w:rPr>
      </w:pPr>
      <w:r>
        <w:rPr>
          <w:rFonts w:hint="eastAsia" w:ascii="仿宋" w:hAnsi="仿宋"/>
        </w:rPr>
        <w:t>（三）依法设立并接受国务院金融监督管理机构监管的机构，包括证券公司及其子公司、基金管理公司及其子公司、期货公司及其子公司、在中国证券投资基金业协会（以下简称证券投资基金业协会）登记的私募基金管理人、商业银行、 金融资产投资公司、信托公司、保险公司、保险资产管理机构、财务公司及中国证监会认定的其他机构；</w:t>
      </w:r>
    </w:p>
    <w:p>
      <w:pPr>
        <w:spacing w:line="360" w:lineRule="auto"/>
        <w:ind w:firstLine="480" w:firstLineChars="200"/>
        <w:rPr>
          <w:rFonts w:ascii="仿宋" w:hAnsi="仿宋"/>
        </w:rPr>
      </w:pPr>
      <w:r>
        <w:rPr>
          <w:rFonts w:hint="eastAsia" w:ascii="仿宋" w:hAnsi="仿宋"/>
        </w:rPr>
        <w:t>（四）接受国务院金融监督管理机构监管的机构发行的资产管理产品；</w:t>
      </w:r>
    </w:p>
    <w:p>
      <w:pPr>
        <w:spacing w:line="360" w:lineRule="auto"/>
        <w:ind w:firstLine="480" w:firstLineChars="200"/>
        <w:rPr>
          <w:rFonts w:ascii="仿宋" w:hAnsi="仿宋"/>
        </w:rPr>
      </w:pPr>
      <w:r>
        <w:rPr>
          <w:rFonts w:hint="eastAsia" w:ascii="仿宋" w:hAnsi="仿宋"/>
        </w:rPr>
        <w:t>（五）基本养老金、社会保障基金、企业年金等养老基金，慈善基金等社会公益基金， 合格境外机构投资者（QFII） 、 人民币合格境外机构投资者（RQFII） ；</w:t>
      </w:r>
    </w:p>
    <w:p>
      <w:pPr>
        <w:spacing w:line="360" w:lineRule="auto"/>
        <w:ind w:firstLine="480" w:firstLineChars="200"/>
        <w:rPr>
          <w:rFonts w:ascii="仿宋" w:hAnsi="仿宋"/>
        </w:rPr>
      </w:pPr>
      <w:r>
        <w:rPr>
          <w:rFonts w:hint="eastAsia" w:ascii="仿宋" w:hAnsi="仿宋"/>
        </w:rPr>
        <w:t>（六）中国证监会视为合格投资者的其他情形。</w:t>
      </w:r>
    </w:p>
    <w:p>
      <w:pPr>
        <w:spacing w:line="360" w:lineRule="auto"/>
        <w:ind w:firstLine="480" w:firstLineChars="200"/>
        <w:rPr>
          <w:rFonts w:ascii="仿宋" w:hAnsi="仿宋"/>
        </w:rPr>
      </w:pPr>
      <w:r>
        <w:rPr>
          <w:rFonts w:hint="eastAsia" w:ascii="仿宋" w:hAnsi="仿宋"/>
        </w:rPr>
        <w:t>合格投资者投资于单只固定收益类资产管理计划的金额不低于 30 万元， 投资于单只混合类资产管理计划的金额不低于 40万元，投资于单只权益类、 商品及金融衍生品类资产管理计划的金额不低于 100 万元。资产管理计划投资于《管理办法》 第三十七条第（五）项规定的非标准化资产的，接受单个合格投资者委托资金的金额不低于100 万元资产管理计划接受其他资产管理产品参与的，不合并计算其他资产管理产品的投资者人数，但应当有效识别资产管理计划的实际投资者与最终资金来源。</w:t>
      </w:r>
    </w:p>
    <w:p>
      <w:pPr>
        <w:spacing w:line="360" w:lineRule="auto"/>
        <w:ind w:firstLine="480" w:firstLineChars="200"/>
        <w:rPr>
          <w:rFonts w:ascii="仿宋" w:hAnsi="仿宋"/>
        </w:rPr>
      </w:pPr>
      <w:r>
        <w:rPr>
          <w:rFonts w:hint="eastAsia" w:ascii="仿宋" w:hAnsi="仿宋"/>
        </w:rPr>
        <w:t>依据：《证券期货经营机构私募资产管理业务管理办法》</w:t>
      </w:r>
    </w:p>
    <w:p>
      <w:pPr>
        <w:spacing w:line="360" w:lineRule="auto"/>
        <w:ind w:firstLine="480" w:firstLineChars="200"/>
        <w:rPr>
          <w:rFonts w:ascii="仿宋" w:hAnsi="仿宋"/>
        </w:rPr>
      </w:pPr>
      <w:r>
        <w:rPr>
          <w:rFonts w:ascii="仿宋" w:hAnsi="仿宋"/>
        </w:rPr>
        <w:t xml:space="preserve">第十八条 </w:t>
      </w:r>
      <w:r>
        <w:rPr>
          <w:rFonts w:hint="eastAsia" w:ascii="仿宋" w:hAnsi="仿宋"/>
        </w:rPr>
        <w:t>证券期货经营机构可以为单一投资者设立单一资产管理计划，也可以为多个投资者设立集合资产管理计划。集合资产管理计划的投资者人数不少于二人， 不得超过二百人</w:t>
      </w:r>
    </w:p>
    <w:p>
      <w:pPr>
        <w:spacing w:line="360" w:lineRule="auto"/>
        <w:ind w:firstLine="480" w:firstLineChars="200"/>
        <w:rPr>
          <w:rFonts w:ascii="仿宋" w:hAnsi="仿宋"/>
        </w:rPr>
      </w:pPr>
    </w:p>
    <w:p>
      <w:pPr>
        <w:pStyle w:val="4"/>
        <w:spacing w:before="0" w:after="0" w:line="360" w:lineRule="auto"/>
        <w:rPr>
          <w:rFonts w:ascii="仿宋" w:hAnsi="仿宋"/>
          <w:szCs w:val="24"/>
        </w:rPr>
      </w:pPr>
      <w:bookmarkStart w:id="449" w:name="_Toc3896827"/>
      <w:r>
        <w:rPr>
          <w:rFonts w:hint="eastAsia" w:ascii="仿宋" w:hAnsi="仿宋"/>
          <w:szCs w:val="24"/>
        </w:rPr>
        <w:t>（十三）关于资产管理业务份额转让的要求</w:t>
      </w:r>
      <w:bookmarkEnd w:id="449"/>
    </w:p>
    <w:p>
      <w:pPr>
        <w:spacing w:line="360" w:lineRule="auto"/>
        <w:ind w:firstLine="480" w:firstLineChars="200"/>
        <w:rPr>
          <w:rFonts w:ascii="仿宋" w:hAnsi="仿宋"/>
        </w:rPr>
      </w:pPr>
      <w:r>
        <w:rPr>
          <w:rFonts w:hint="eastAsia" w:ascii="仿宋" w:hAnsi="仿宋"/>
        </w:rPr>
        <w:t>依据：《证券期货经营机构私募资产管理业务管理办法》</w:t>
      </w:r>
    </w:p>
    <w:p>
      <w:pPr>
        <w:spacing w:line="360" w:lineRule="auto"/>
        <w:ind w:firstLine="480" w:firstLineChars="200"/>
        <w:rPr>
          <w:rFonts w:ascii="仿宋" w:hAnsi="仿宋"/>
        </w:rPr>
      </w:pPr>
      <w:r>
        <w:rPr>
          <w:rFonts w:hint="eastAsia" w:ascii="仿宋" w:hAnsi="仿宋"/>
        </w:rPr>
        <w:t>第三十五条 投资者可以通过证券交易所以及中国证监会认可的其他方式， 向合格投资者转让其持有的集合资产管理计划份额，并按规定办理份额变更登记手续。转让后，持有资产管理计划份额的合格投资者合计不得超过二百人。</w:t>
      </w:r>
    </w:p>
    <w:p>
      <w:pPr>
        <w:spacing w:line="360" w:lineRule="auto"/>
        <w:ind w:firstLine="480" w:firstLineChars="200"/>
        <w:rPr>
          <w:rFonts w:ascii="仿宋" w:hAnsi="仿宋"/>
        </w:rPr>
      </w:pPr>
      <w:r>
        <w:rPr>
          <w:rFonts w:hint="eastAsia" w:ascii="仿宋" w:hAnsi="仿宋"/>
        </w:rPr>
        <w:t>证券期货经营机构应当在集合资产管理计划份额转让前，对受让人的合格投资者身份和资产管理计划的投资者人数进行合规性审查。受让方首次参与集合资产管理计划的，应当先与证券期货经营机构、托管人签订资产管理合同。</w:t>
      </w:r>
    </w:p>
    <w:p>
      <w:pPr>
        <w:spacing w:line="360" w:lineRule="auto"/>
        <w:ind w:firstLine="480" w:firstLineChars="200"/>
        <w:rPr>
          <w:rFonts w:ascii="仿宋" w:hAnsi="仿宋"/>
        </w:rPr>
      </w:pPr>
      <w:r>
        <w:rPr>
          <w:rFonts w:hint="eastAsia" w:ascii="仿宋" w:hAnsi="仿宋"/>
        </w:rPr>
        <w:t>证券期货经营机构、交易场所不得通过办理集合资产管理计划的份额转让， 公开或变相公开募集资产管理计划。</w:t>
      </w:r>
    </w:p>
    <w:p>
      <w:pPr>
        <w:spacing w:line="360" w:lineRule="auto"/>
        <w:ind w:firstLine="480" w:firstLineChars="200"/>
        <w:rPr>
          <w:rFonts w:ascii="仿宋" w:hAnsi="仿宋"/>
        </w:rPr>
      </w:pPr>
    </w:p>
    <w:p>
      <w:pPr>
        <w:pStyle w:val="4"/>
        <w:spacing w:before="0" w:after="0" w:line="360" w:lineRule="auto"/>
        <w:rPr>
          <w:rFonts w:ascii="仿宋" w:hAnsi="仿宋"/>
          <w:szCs w:val="24"/>
        </w:rPr>
      </w:pPr>
      <w:bookmarkStart w:id="450" w:name="_Toc3896828"/>
      <w:r>
        <w:rPr>
          <w:rFonts w:hint="eastAsia" w:ascii="仿宋" w:hAnsi="仿宋"/>
          <w:szCs w:val="24"/>
        </w:rPr>
        <w:t>（十四）关于资产管理业务人员的要求</w:t>
      </w:r>
      <w:bookmarkEnd w:id="450"/>
    </w:p>
    <w:p>
      <w:pPr>
        <w:spacing w:line="360" w:lineRule="auto"/>
        <w:ind w:firstLine="480" w:firstLineChars="200"/>
        <w:rPr>
          <w:rFonts w:ascii="仿宋" w:hAnsi="仿宋"/>
        </w:rPr>
      </w:pPr>
      <w:r>
        <w:rPr>
          <w:rFonts w:hint="eastAsia" w:ascii="仿宋" w:hAnsi="仿宋"/>
        </w:rPr>
        <w:t>依据:《期货公司资产管理业务管理规则（试行）》第三十二条、第四十二条</w:t>
      </w:r>
    </w:p>
    <w:p>
      <w:pPr>
        <w:spacing w:line="360" w:lineRule="auto"/>
        <w:ind w:firstLine="480" w:firstLineChars="200"/>
        <w:rPr>
          <w:rFonts w:ascii="仿宋" w:hAnsi="仿宋"/>
        </w:rPr>
      </w:pPr>
      <w:r>
        <w:rPr>
          <w:rFonts w:hint="eastAsia" w:ascii="仿宋" w:hAnsi="仿宋"/>
        </w:rPr>
        <w:t>第三十二条 期货公司或子公司应当设立相关部门，指定高级管理人员担任合规负责人，配备必要的专业人员，为资产管理业务合规管理和风险控制工作提供充分保障。</w:t>
      </w:r>
    </w:p>
    <w:p>
      <w:pPr>
        <w:spacing w:line="360" w:lineRule="auto"/>
        <w:ind w:firstLine="480" w:firstLineChars="200"/>
        <w:rPr>
          <w:rFonts w:ascii="仿宋" w:hAnsi="仿宋"/>
        </w:rPr>
      </w:pPr>
      <w:r>
        <w:rPr>
          <w:rFonts w:hint="eastAsia" w:ascii="仿宋" w:hAnsi="仿宋"/>
        </w:rPr>
        <w:t>期货公司可以依照有关规定或者合同约定，为子公司的合规管理、风险控制、稽核审计、人力资源管理、信息技术和运营服务等方面提供支持和服务。</w:t>
      </w:r>
    </w:p>
    <w:p>
      <w:pPr>
        <w:spacing w:line="360" w:lineRule="auto"/>
        <w:ind w:firstLine="480" w:firstLineChars="200"/>
        <w:rPr>
          <w:rFonts w:ascii="仿宋" w:hAnsi="仿宋"/>
        </w:rPr>
      </w:pPr>
      <w:r>
        <w:rPr>
          <w:rFonts w:hint="eastAsia" w:ascii="仿宋" w:hAnsi="仿宋"/>
        </w:rPr>
        <w:t>第四十二条 期货公司或子公司应当建立健全资产管理业务人员管理制度，加强合规培训和职业操守培训，规范员工行为，强化内部监督制约。</w:t>
      </w:r>
    </w:p>
    <w:p>
      <w:pPr>
        <w:spacing w:line="360" w:lineRule="auto"/>
        <w:ind w:firstLine="480" w:firstLineChars="200"/>
        <w:rPr>
          <w:rFonts w:ascii="仿宋" w:hAnsi="仿宋"/>
        </w:rPr>
      </w:pPr>
      <w:r>
        <w:rPr>
          <w:rFonts w:hint="eastAsia" w:ascii="仿宋" w:hAnsi="仿宋"/>
        </w:rPr>
        <w:t>资产管理业务人员应当诚实守信，勤勉尽责，恪守职业道德和行为规范，遇到自身利益或相关方利益与客户利益发生冲突或可能发生冲突时，应当遵循客户利益优先原则。</w:t>
      </w:r>
    </w:p>
    <w:p>
      <w:pPr>
        <w:spacing w:line="360" w:lineRule="auto"/>
        <w:ind w:firstLine="480" w:firstLineChars="200"/>
        <w:rPr>
          <w:rFonts w:ascii="仿宋" w:hAnsi="仿宋"/>
        </w:rPr>
      </w:pPr>
    </w:p>
    <w:p>
      <w:pPr>
        <w:pStyle w:val="4"/>
        <w:spacing w:before="0" w:after="0" w:line="360" w:lineRule="auto"/>
        <w:rPr>
          <w:rFonts w:ascii="仿宋" w:hAnsi="仿宋"/>
          <w:szCs w:val="24"/>
        </w:rPr>
      </w:pPr>
      <w:bookmarkStart w:id="451" w:name="_Toc3896829"/>
      <w:r>
        <w:rPr>
          <w:rFonts w:hint="eastAsia" w:ascii="仿宋" w:hAnsi="仿宋"/>
          <w:szCs w:val="24"/>
        </w:rPr>
        <w:t>（十五）关于资产管理业务制度建立的要求</w:t>
      </w:r>
      <w:bookmarkEnd w:id="451"/>
    </w:p>
    <w:p>
      <w:pPr>
        <w:spacing w:line="360" w:lineRule="auto"/>
        <w:ind w:firstLine="480" w:firstLineChars="200"/>
        <w:rPr>
          <w:rFonts w:ascii="仿宋" w:hAnsi="仿宋"/>
        </w:rPr>
      </w:pPr>
      <w:r>
        <w:rPr>
          <w:rFonts w:hint="eastAsia" w:ascii="仿宋" w:hAnsi="仿宋"/>
        </w:rPr>
        <w:t>依据：《证券期货经营机构私募资产管理业务管理办法》</w:t>
      </w:r>
    </w:p>
    <w:p>
      <w:pPr>
        <w:spacing w:line="360" w:lineRule="auto"/>
        <w:ind w:firstLine="480" w:firstLineChars="200"/>
        <w:rPr>
          <w:rFonts w:ascii="仿宋" w:hAnsi="仿宋"/>
        </w:rPr>
      </w:pPr>
      <w:r>
        <w:rPr>
          <w:rFonts w:hint="eastAsia" w:ascii="仿宋" w:hAnsi="仿宋"/>
        </w:rPr>
        <w:t>第五十八条 证券期货经营机构应当建立健全与私募资产管理业务相关的投资者适当性、投资决策、公平交易、会计核算、风险控制、合规管理、投诉处理等管理制度，覆盖私募资产管理业务的产品设计、募集、研究、投资、交易、会计核算、信息披露、清算、信息技术、投资者服务等各个环节，明确岗位职责和责任追究机制，确保各项制度流程得到有效执行。</w:t>
      </w:r>
    </w:p>
    <w:p>
      <w:pPr>
        <w:spacing w:line="360" w:lineRule="auto"/>
        <w:ind w:firstLine="480" w:firstLineChars="200"/>
        <w:rPr>
          <w:rFonts w:ascii="仿宋" w:hAnsi="仿宋"/>
        </w:rPr>
      </w:pPr>
      <w:r>
        <w:rPr>
          <w:rFonts w:hint="eastAsia" w:ascii="仿宋" w:hAnsi="仿宋"/>
        </w:rPr>
        <w:t>第六十条 证券期货经营机构应当明确投资决策流程与授权管理制度，建立、维护投资对象与交易对手备选库，设定清晰的清算流程和资金划转路径，对资产管理计划账户日常交易情况进行风险识别、监测，严格执行风险控制措施和投资交易复核程序，保证投资决策按照法律、行政法规、中国证监会的规定以及合同约定执行。</w:t>
      </w:r>
    </w:p>
    <w:p>
      <w:pPr>
        <w:spacing w:line="360" w:lineRule="auto"/>
        <w:ind w:firstLine="480" w:firstLineChars="200"/>
        <w:rPr>
          <w:rFonts w:ascii="仿宋" w:hAnsi="仿宋"/>
        </w:rPr>
      </w:pPr>
      <w:r>
        <w:rPr>
          <w:rFonts w:hint="eastAsia" w:ascii="仿宋" w:hAnsi="仿宋"/>
        </w:rPr>
        <w:t>投资经理应当在授权范围内独立、客观地履行职责，重要投资应当有详细的研究报告和风险分析支持。</w:t>
      </w:r>
    </w:p>
    <w:p>
      <w:pPr>
        <w:spacing w:line="360" w:lineRule="auto"/>
        <w:ind w:firstLine="480" w:firstLineChars="200"/>
        <w:rPr>
          <w:rFonts w:ascii="仿宋" w:hAnsi="仿宋"/>
        </w:rPr>
      </w:pPr>
      <w:r>
        <w:rPr>
          <w:rFonts w:hint="eastAsia" w:ascii="仿宋" w:hAnsi="仿宋"/>
        </w:rPr>
        <w:t>第六十一条 证券期货经营机构应当建立健全信用风险管理制度，对信用风险进行准确识别、审慎评估、动态监控、及时应对和全程管理。</w:t>
      </w:r>
    </w:p>
    <w:p>
      <w:pPr>
        <w:spacing w:line="360" w:lineRule="auto"/>
        <w:ind w:firstLine="480" w:firstLineChars="200"/>
        <w:rPr>
          <w:rFonts w:ascii="仿宋" w:hAnsi="仿宋"/>
        </w:rPr>
      </w:pPr>
      <w:r>
        <w:rPr>
          <w:rFonts w:hint="eastAsia" w:ascii="仿宋" w:hAnsi="仿宋"/>
        </w:rPr>
        <w:t>证券期货经营机构应当对投资对象、交易对手开展必要的尽职调查，实施严格的准入管理和交易额度管理，评估并持续关注证券发行人、 融资主体和交易对手的资信状况， 以及担保物状况、增信措施和其他保障措施的有效性。出现可能影响投资者权益的事项，证券期货经营机构应当及时采取申请追加担保、依法申请财产保全等风险控制措施。</w:t>
      </w:r>
    </w:p>
    <w:p>
      <w:pPr>
        <w:spacing w:line="360" w:lineRule="auto"/>
        <w:ind w:firstLine="480" w:firstLineChars="200"/>
        <w:rPr>
          <w:rFonts w:ascii="仿宋" w:hAnsi="仿宋"/>
        </w:rPr>
      </w:pPr>
      <w:r>
        <w:rPr>
          <w:rFonts w:hint="eastAsia" w:ascii="仿宋" w:hAnsi="仿宋"/>
        </w:rPr>
        <w:t>第六十三条 证券期货经营机构应当建立健全流动性风险监测、预警与应急处置制度，将私募资产管理业务纳入常态化压力测试机制，压力测试应当至少每季度进行一次。</w:t>
      </w:r>
    </w:p>
    <w:p>
      <w:pPr>
        <w:spacing w:line="360" w:lineRule="auto"/>
        <w:ind w:firstLine="480" w:firstLineChars="200"/>
        <w:rPr>
          <w:rFonts w:ascii="仿宋" w:hAnsi="仿宋"/>
        </w:rPr>
      </w:pPr>
      <w:r>
        <w:rPr>
          <w:rFonts w:hint="eastAsia" w:ascii="仿宋" w:hAnsi="仿宋"/>
        </w:rPr>
        <w:t>证券期货经营机构应当结合市场状况和自身管理能力制定并持续更新流动性风险应急预案，明确预案触发情景、应急程序与措施、应急资金来源、公司董事会、管理层及各部门职责与权限等。</w:t>
      </w:r>
    </w:p>
    <w:p>
      <w:pPr>
        <w:spacing w:line="360" w:lineRule="auto"/>
        <w:ind w:firstLine="480" w:firstLineChars="200"/>
        <w:rPr>
          <w:rFonts w:ascii="仿宋" w:hAnsi="仿宋"/>
        </w:rPr>
      </w:pPr>
      <w:r>
        <w:rPr>
          <w:rFonts w:hint="eastAsia" w:ascii="仿宋" w:hAnsi="仿宋"/>
        </w:rPr>
        <w:t>第六十四条 证券期货经营机构应当建立公平交易制度及异常交易监控机制， 公平对待所管理的不同资产，对投资交易行为进行监控、分析、评估、核查，监督投资交易的过程和结果，保证公平交易原则的实现，不得开展可能导致不公平交易和利益输送的交易行为。</w:t>
      </w:r>
    </w:p>
    <w:p>
      <w:pPr>
        <w:spacing w:line="360" w:lineRule="auto"/>
        <w:ind w:firstLine="480" w:firstLineChars="200"/>
        <w:rPr>
          <w:rFonts w:ascii="仿宋" w:hAnsi="仿宋"/>
        </w:rPr>
      </w:pPr>
      <w:r>
        <w:rPr>
          <w:rFonts w:hint="eastAsia" w:ascii="仿宋" w:hAnsi="仿宋"/>
        </w:rPr>
        <w:t>证券期货经营机构应当对不同资产管理计划之间发生的同向交易和反向交易进行监控。 同一资产管理计划不得在同一交易日内进行反向交易。确因投资策略或流动性等需要发生同日反向交易的，应要求投资经理提供决策依据，并留存书面记录备查。</w:t>
      </w:r>
    </w:p>
    <w:p>
      <w:pPr>
        <w:spacing w:line="360" w:lineRule="auto"/>
        <w:ind w:firstLine="480" w:firstLineChars="200"/>
        <w:rPr>
          <w:rFonts w:ascii="仿宋" w:hAnsi="仿宋"/>
        </w:rPr>
      </w:pPr>
      <w:r>
        <w:rPr>
          <w:rFonts w:hint="eastAsia" w:ascii="仿宋" w:hAnsi="仿宋"/>
        </w:rPr>
        <w:t>资产管理计划依法投资于本办法第三十七条第（三）项规定资产的，在同一交易日内进行反向交易的，不受前款规定限制。</w:t>
      </w:r>
    </w:p>
    <w:p>
      <w:pPr>
        <w:spacing w:line="360" w:lineRule="auto"/>
        <w:ind w:firstLine="480" w:firstLineChars="200"/>
        <w:rPr>
          <w:rFonts w:ascii="仿宋" w:hAnsi="仿宋"/>
        </w:rPr>
      </w:pPr>
      <w:r>
        <w:rPr>
          <w:rFonts w:hint="eastAsia" w:ascii="仿宋" w:hAnsi="仿宋"/>
        </w:rPr>
        <w:t>第六十六条 证券期货经营机构应当建立健全关联交易管理制度，对关联交易认定标准、交易定价方法、交易审批程序进行规范， 不得以资产管理计划的资产与关联方进行不正当交易、利益输送、内幕交易和操纵市场。</w:t>
      </w:r>
    </w:p>
    <w:p>
      <w:pPr>
        <w:spacing w:line="360" w:lineRule="auto"/>
        <w:ind w:firstLine="480" w:firstLineChars="200"/>
        <w:rPr>
          <w:rFonts w:ascii="仿宋" w:hAnsi="仿宋"/>
        </w:rPr>
      </w:pPr>
      <w:r>
        <w:rPr>
          <w:rFonts w:hint="eastAsia" w:ascii="仿宋" w:hAnsi="仿宋"/>
        </w:rPr>
        <w:t>证券期货经营机构以资产管理计划资产从事重大关联交易的，应当遵守法律、行政法规、中国证监会的规定和合同约定，事先取得投资者的同意，事后及时告知投资者和托管人，并向中国证监会相关派出机构和证券投资基金业协会报告，投资于证券期货的关联交易还应当向证券期货交易所报告。</w:t>
      </w:r>
    </w:p>
    <w:p>
      <w:pPr>
        <w:spacing w:line="360" w:lineRule="auto"/>
        <w:ind w:firstLine="480" w:firstLineChars="200"/>
        <w:rPr>
          <w:rFonts w:ascii="仿宋" w:hAnsi="仿宋"/>
        </w:rPr>
      </w:pPr>
      <w:r>
        <w:rPr>
          <w:rFonts w:hint="eastAsia" w:ascii="仿宋" w:hAnsi="仿宋"/>
        </w:rPr>
        <w:t>第六十七条 证券期货经营机构应当建立健全信息披露管理制度，设置专门部门或者专岗负责信息披露工作， 明确负责的高级管理人员，并建立复核机制，通过规范渠道向投资者披露有关信息，还应当定期对信息披露工作的真实性、准确性、完整性、及时性等进行评估。</w:t>
      </w:r>
    </w:p>
    <w:p>
      <w:pPr>
        <w:spacing w:line="360" w:lineRule="auto"/>
        <w:ind w:firstLine="480" w:firstLineChars="200"/>
        <w:rPr>
          <w:rFonts w:ascii="仿宋" w:hAnsi="仿宋"/>
        </w:rPr>
      </w:pPr>
      <w:r>
        <w:rPr>
          <w:rFonts w:hint="eastAsia" w:ascii="仿宋" w:hAnsi="仿宋"/>
        </w:rPr>
        <w:t>第六十九条 证券期货经营机构应当建立资产管理计划的销售机构和投资顾问的授权管理体系，明确销售机构和投资顾问的准入标准和程序，对相关机构资质条件、专业服务能力和风险管理制度等进行尽职调查， 确保其符合法规规定。证券期货经营机构应当以书面方式明确界定双方的权利与义务，明确相关风险的责任承担方式。</w:t>
      </w:r>
    </w:p>
    <w:p>
      <w:pPr>
        <w:spacing w:line="360" w:lineRule="auto"/>
        <w:ind w:firstLine="480" w:firstLineChars="200"/>
        <w:rPr>
          <w:rFonts w:ascii="仿宋" w:hAnsi="仿宋"/>
        </w:rPr>
      </w:pPr>
      <w:r>
        <w:rPr>
          <w:rFonts w:hint="eastAsia" w:ascii="仿宋" w:hAnsi="仿宋"/>
        </w:rPr>
        <w:t>证券期货经营机构应当建立对销售机构和投资顾问履职情况的监督评估机制，发现违法违规行为的，应当及时更换并报告中国证监会相关派出机构和证券投资基金业协会。</w:t>
      </w:r>
    </w:p>
    <w:p>
      <w:pPr>
        <w:spacing w:line="360" w:lineRule="auto"/>
        <w:ind w:firstLine="480" w:firstLineChars="200"/>
        <w:rPr>
          <w:rFonts w:ascii="仿宋" w:hAnsi="仿宋"/>
        </w:rPr>
      </w:pPr>
      <w:r>
        <w:rPr>
          <w:rFonts w:hint="eastAsia" w:ascii="仿宋" w:hAnsi="仿宋"/>
        </w:rPr>
        <w:t>第七十二条 证券期货经营机构应当建立健全应急处理机制，对发生延期兑付、负面舆论、群体性事件等风险事件的处理原则、方案等作出明确规定，并指定高级管理人员负责实施。出现重大风险事件的，应当及时向中国证监会及相关派出机构、证券投资基金业协会报告。</w:t>
      </w:r>
    </w:p>
    <w:p>
      <w:pPr>
        <w:spacing w:line="360" w:lineRule="auto"/>
        <w:ind w:firstLine="480" w:firstLineChars="200"/>
        <w:rPr>
          <w:rFonts w:ascii="仿宋" w:hAnsi="仿宋"/>
        </w:rPr>
      </w:pPr>
    </w:p>
    <w:p>
      <w:pPr>
        <w:pStyle w:val="4"/>
        <w:spacing w:before="0" w:after="0" w:line="360" w:lineRule="auto"/>
        <w:rPr>
          <w:rFonts w:ascii="仿宋" w:hAnsi="仿宋"/>
          <w:szCs w:val="24"/>
        </w:rPr>
      </w:pPr>
      <w:bookmarkStart w:id="452" w:name="_Toc3896830"/>
      <w:r>
        <w:rPr>
          <w:rFonts w:hint="eastAsia" w:ascii="仿宋" w:hAnsi="仿宋"/>
          <w:szCs w:val="24"/>
        </w:rPr>
        <w:t>（十六）关于资产管理业务中自有资金投资的要求</w:t>
      </w:r>
      <w:bookmarkEnd w:id="452"/>
    </w:p>
    <w:p>
      <w:pPr>
        <w:spacing w:line="360" w:lineRule="auto"/>
        <w:ind w:firstLine="480" w:firstLineChars="200"/>
        <w:rPr>
          <w:rFonts w:ascii="仿宋" w:hAnsi="仿宋"/>
        </w:rPr>
      </w:pPr>
      <w:r>
        <w:rPr>
          <w:rFonts w:hint="eastAsia" w:ascii="仿宋" w:hAnsi="仿宋"/>
        </w:rPr>
        <w:t>依据:《证券期货经营机构私募资产管理计划运作管理规定》</w:t>
      </w:r>
    </w:p>
    <w:p>
      <w:pPr>
        <w:spacing w:line="360" w:lineRule="auto"/>
        <w:ind w:firstLine="480" w:firstLineChars="200"/>
        <w:rPr>
          <w:rFonts w:ascii="仿宋" w:hAnsi="仿宋"/>
        </w:rPr>
      </w:pPr>
      <w:r>
        <w:rPr>
          <w:rFonts w:hint="eastAsia" w:ascii="仿宋" w:hAnsi="仿宋"/>
        </w:rPr>
        <w:t>第九条 证券期货经营机构自有资金参与集合资产管理计划的持有期限不得少于 6 个月。参与、退出时，应当提前 5 个工作日告知投资者和托管人。</w:t>
      </w:r>
    </w:p>
    <w:p>
      <w:pPr>
        <w:spacing w:line="360" w:lineRule="auto"/>
        <w:ind w:firstLine="480" w:firstLineChars="200"/>
        <w:rPr>
          <w:rFonts w:ascii="仿宋" w:hAnsi="仿宋"/>
        </w:rPr>
      </w:pPr>
      <w:r>
        <w:rPr>
          <w:rFonts w:hint="eastAsia" w:ascii="仿宋" w:hAnsi="仿宋"/>
        </w:rPr>
        <w:t>证券期货经营机构以自有资金参与单个集合资产管理计划的份额不得超过该计划总份额的20%。证券期货经营机构及其附属机构以自有资金参与单个集合资产管理计划的份额合计不得超过该计划总份额的50%。因集合资产管理计划规模变动等客观因素导致前述比例被动超标的，证券期货经营机构应当依照中国证监会规定及资产管理合同的约定及时调整达标。</w:t>
      </w:r>
    </w:p>
    <w:p>
      <w:pPr>
        <w:spacing w:line="360" w:lineRule="auto"/>
        <w:ind w:firstLine="480" w:firstLineChars="200"/>
        <w:rPr>
          <w:rFonts w:ascii="仿宋" w:hAnsi="仿宋"/>
        </w:rPr>
      </w:pPr>
      <w:r>
        <w:rPr>
          <w:rFonts w:hint="eastAsia" w:ascii="仿宋" w:hAnsi="仿宋"/>
        </w:rPr>
        <w:t>为应对集合资产管理计划巨额赎回以解决流动性风险，或者中国证监会认可的其他情形，在不存在利益冲突并遵守合同约定的前提下，证券期货经营机构及其附属机构以自有资金参与及其后续退出集合资产管理计划可不受本条第一款、 第二款规定的限制，但应当及时告知投资者和托管人，并向相关派出机构及证券投资基金业协会报告。</w:t>
      </w:r>
    </w:p>
    <w:p>
      <w:pPr>
        <w:spacing w:line="360" w:lineRule="auto"/>
        <w:ind w:firstLine="480" w:firstLineChars="200"/>
        <w:rPr>
          <w:rFonts w:ascii="仿宋" w:hAnsi="仿宋"/>
        </w:rPr>
      </w:pPr>
    </w:p>
    <w:bookmarkEnd w:id="434"/>
    <w:bookmarkEnd w:id="435"/>
    <w:p>
      <w:pPr>
        <w:pStyle w:val="3"/>
        <w:rPr>
          <w:sz w:val="24"/>
          <w:szCs w:val="24"/>
        </w:rPr>
      </w:pPr>
      <w:bookmarkStart w:id="453" w:name="_Toc399750572"/>
      <w:bookmarkStart w:id="454" w:name="_Toc400554028"/>
      <w:bookmarkStart w:id="455" w:name="_Toc410115215"/>
      <w:bookmarkStart w:id="456" w:name="_Toc3896831"/>
      <w:r>
        <w:rPr>
          <w:rFonts w:hint="eastAsia"/>
          <w:sz w:val="24"/>
          <w:szCs w:val="24"/>
        </w:rPr>
        <w:t>十三、关于投资咨询业务</w:t>
      </w:r>
      <w:bookmarkEnd w:id="453"/>
      <w:bookmarkEnd w:id="454"/>
      <w:bookmarkEnd w:id="455"/>
      <w:bookmarkEnd w:id="456"/>
    </w:p>
    <w:p>
      <w:pPr>
        <w:spacing w:line="360" w:lineRule="auto"/>
        <w:ind w:firstLine="480" w:firstLineChars="200"/>
        <w:rPr>
          <w:rFonts w:ascii="仿宋" w:hAnsi="仿宋"/>
        </w:rPr>
      </w:pPr>
      <w:r>
        <w:rPr>
          <w:rFonts w:hint="eastAsia" w:ascii="仿宋" w:hAnsi="仿宋"/>
        </w:rPr>
        <w:t>掌握期货投资咨询业务的业务特点和类型；掌握开展投资咨询业务的合规原则；掌握对期货投资咨询业务客户尽职调查内容和适当性评估原则、风险揭示要求；掌握期货投资咨询服务合同签订的要求；掌握研究分析服务的注意事项及防止研究报告被不当利用的措施；掌握研究报告应载明的事项及风险提示；掌握交易咨询服务的规则；掌握以交易软件、终端设备为载体开展交易咨询业务的规则；掌握投资咨询业务与其他业务之间利益冲突防范及信息隔离的要求、方法；掌握投资咨询部门设置及管理要求；掌握投资咨询业务开展名义的要求；掌握投资咨询业务人员任职的要求；掌握投资咨询业务的检查要求；掌握投资咨询业务开展不规范的处罚规定。</w:t>
      </w:r>
    </w:p>
    <w:p>
      <w:pPr>
        <w:spacing w:line="360" w:lineRule="auto"/>
        <w:ind w:firstLine="480" w:firstLineChars="200"/>
        <w:rPr>
          <w:rFonts w:ascii="仿宋" w:hAnsi="仿宋"/>
        </w:rPr>
      </w:pPr>
      <w:r>
        <w:rPr>
          <w:rFonts w:hint="eastAsia" w:ascii="仿宋" w:hAnsi="仿宋"/>
        </w:rPr>
        <w:t>期货投资咨询业务开展的原则规定</w:t>
      </w:r>
    </w:p>
    <w:p>
      <w:pPr>
        <w:spacing w:line="360" w:lineRule="auto"/>
        <w:ind w:firstLine="480" w:firstLineChars="200"/>
        <w:rPr>
          <w:rFonts w:ascii="仿宋" w:hAnsi="仿宋"/>
        </w:rPr>
      </w:pPr>
      <w:r>
        <w:rPr>
          <w:rFonts w:hint="eastAsia" w:ascii="仿宋" w:hAnsi="仿宋"/>
        </w:rPr>
        <w:t>依据：《期货公司监督管理办法》第六十一条、第六十二条、第六十三条</w:t>
      </w:r>
    </w:p>
    <w:p>
      <w:pPr>
        <w:spacing w:line="360" w:lineRule="auto"/>
        <w:ind w:firstLine="480" w:firstLineChars="200"/>
        <w:rPr>
          <w:rFonts w:ascii="仿宋" w:hAnsi="仿宋"/>
        </w:rPr>
      </w:pPr>
      <w:r>
        <w:rPr>
          <w:rFonts w:hint="eastAsia" w:ascii="仿宋" w:hAnsi="仿宋"/>
        </w:rPr>
        <w:t>第六十一条 期货公司可以依法从事期货投资咨询业务，接受客户委托，向客户提供风险管理顾问、研究分析、交易咨询等服务。</w:t>
      </w:r>
    </w:p>
    <w:p>
      <w:pPr>
        <w:spacing w:line="360" w:lineRule="auto"/>
        <w:ind w:firstLine="480" w:firstLineChars="200"/>
        <w:rPr>
          <w:rFonts w:ascii="仿宋" w:hAnsi="仿宋"/>
        </w:rPr>
      </w:pPr>
      <w:r>
        <w:rPr>
          <w:rFonts w:hint="eastAsia" w:ascii="仿宋" w:hAnsi="仿宋"/>
        </w:rPr>
        <w:t>第六十二条 期货公司从事期货投资咨询业务，应当与客户签订服务合同，明确约定服务内容、收费标准及纠纷处理方式等事项。</w:t>
      </w:r>
    </w:p>
    <w:p>
      <w:pPr>
        <w:spacing w:line="360" w:lineRule="auto"/>
        <w:ind w:firstLine="480" w:firstLineChars="200"/>
        <w:rPr>
          <w:rFonts w:ascii="仿宋" w:hAnsi="仿宋"/>
        </w:rPr>
      </w:pPr>
      <w:r>
        <w:rPr>
          <w:rFonts w:hint="eastAsia" w:ascii="仿宋" w:hAnsi="仿宋"/>
        </w:rPr>
        <w:t>第六十三条 期货公司及其从业人员从事期货投资咨询业务，不得有下列行为：</w:t>
      </w:r>
    </w:p>
    <w:p>
      <w:pPr>
        <w:spacing w:line="360" w:lineRule="auto"/>
        <w:ind w:firstLine="480" w:firstLineChars="200"/>
        <w:rPr>
          <w:rFonts w:ascii="仿宋" w:hAnsi="仿宋"/>
        </w:rPr>
      </w:pPr>
      <w:r>
        <w:rPr>
          <w:rFonts w:hint="eastAsia" w:ascii="仿宋" w:hAnsi="仿宋"/>
        </w:rPr>
        <w:t>（一）向客户做获利保证；</w:t>
      </w:r>
    </w:p>
    <w:p>
      <w:pPr>
        <w:spacing w:line="360" w:lineRule="auto"/>
        <w:ind w:firstLine="480" w:firstLineChars="200"/>
        <w:rPr>
          <w:rFonts w:ascii="仿宋" w:hAnsi="仿宋"/>
        </w:rPr>
      </w:pPr>
      <w:r>
        <w:rPr>
          <w:rFonts w:hint="eastAsia" w:ascii="仿宋" w:hAnsi="仿宋"/>
        </w:rPr>
        <w:t>（二）以虚假信息、市场传言或者内幕信息为依据向客户提供期货投资咨询服务；</w:t>
      </w:r>
    </w:p>
    <w:p>
      <w:pPr>
        <w:spacing w:line="360" w:lineRule="auto"/>
        <w:ind w:firstLine="480" w:firstLineChars="200"/>
        <w:rPr>
          <w:rFonts w:ascii="仿宋" w:hAnsi="仿宋"/>
        </w:rPr>
      </w:pPr>
      <w:r>
        <w:rPr>
          <w:rFonts w:hint="eastAsia" w:ascii="仿宋" w:hAnsi="仿宋"/>
        </w:rPr>
        <w:t>（三）对价格涨跌或者市场走势做出确定性的判断；</w:t>
      </w:r>
    </w:p>
    <w:p>
      <w:pPr>
        <w:spacing w:line="360" w:lineRule="auto"/>
        <w:ind w:firstLine="480" w:firstLineChars="200"/>
        <w:rPr>
          <w:rFonts w:ascii="仿宋" w:hAnsi="仿宋"/>
        </w:rPr>
      </w:pPr>
      <w:r>
        <w:rPr>
          <w:rFonts w:hint="eastAsia" w:ascii="仿宋" w:hAnsi="仿宋"/>
        </w:rPr>
        <w:t>（四）利用向客户提供投资建议谋取不正当利益；</w:t>
      </w:r>
    </w:p>
    <w:p>
      <w:pPr>
        <w:spacing w:line="360" w:lineRule="auto"/>
        <w:ind w:firstLine="480" w:firstLineChars="200"/>
        <w:rPr>
          <w:rFonts w:ascii="仿宋" w:hAnsi="仿宋"/>
        </w:rPr>
      </w:pPr>
      <w:r>
        <w:rPr>
          <w:rFonts w:hint="eastAsia" w:ascii="仿宋" w:hAnsi="仿宋"/>
        </w:rPr>
        <w:t>（五）利用期货投资咨询活动传播虚假、误导性信息；</w:t>
      </w:r>
    </w:p>
    <w:p>
      <w:pPr>
        <w:spacing w:line="360" w:lineRule="auto"/>
        <w:ind w:firstLine="480" w:firstLineChars="200"/>
        <w:rPr>
          <w:rFonts w:ascii="仿宋" w:hAnsi="仿宋"/>
        </w:rPr>
      </w:pPr>
      <w:r>
        <w:rPr>
          <w:rFonts w:hint="eastAsia" w:ascii="仿宋" w:hAnsi="仿宋"/>
        </w:rPr>
        <w:t>（六）以个人名义收取服务报酬；</w:t>
      </w:r>
    </w:p>
    <w:p>
      <w:pPr>
        <w:spacing w:line="360" w:lineRule="auto"/>
        <w:ind w:firstLine="480" w:firstLineChars="200"/>
        <w:rPr>
          <w:rFonts w:ascii="仿宋" w:hAnsi="仿宋"/>
        </w:rPr>
      </w:pPr>
      <w:r>
        <w:rPr>
          <w:rFonts w:hint="eastAsia" w:ascii="仿宋" w:hAnsi="仿宋"/>
        </w:rPr>
        <w:t>（七）法律、行政法规和中国证监会规定禁止的其他行为。</w:t>
      </w:r>
    </w:p>
    <w:p>
      <w:pPr>
        <w:pStyle w:val="4"/>
        <w:rPr>
          <w:szCs w:val="24"/>
        </w:rPr>
      </w:pPr>
      <w:bookmarkStart w:id="457" w:name="_Toc400554029"/>
      <w:bookmarkStart w:id="458" w:name="_Toc410115216"/>
      <w:bookmarkStart w:id="459" w:name="_Toc3896832"/>
      <w:r>
        <w:rPr>
          <w:rFonts w:hint="eastAsia" w:ascii="仿宋" w:hAnsi="仿宋"/>
          <w:kern w:val="0"/>
          <w:szCs w:val="24"/>
        </w:rPr>
        <w:t>（一）</w:t>
      </w:r>
      <w:r>
        <w:rPr>
          <w:rFonts w:hint="eastAsia"/>
          <w:szCs w:val="24"/>
        </w:rPr>
        <w:t>投资咨询业务的业务特点和类型；</w:t>
      </w:r>
      <w:bookmarkEnd w:id="457"/>
      <w:bookmarkEnd w:id="458"/>
      <w:bookmarkEnd w:id="459"/>
    </w:p>
    <w:p>
      <w:pPr>
        <w:spacing w:line="360" w:lineRule="auto"/>
        <w:ind w:firstLine="480" w:firstLineChars="200"/>
        <w:rPr>
          <w:rFonts w:ascii="仿宋" w:hAnsi="仿宋"/>
        </w:rPr>
      </w:pPr>
      <w:r>
        <w:rPr>
          <w:rFonts w:hint="eastAsia" w:ascii="仿宋" w:hAnsi="仿宋"/>
        </w:rPr>
        <w:t>依据：《期货公司期货投资咨询业务试行办法》第二条</w:t>
      </w:r>
    </w:p>
    <w:p>
      <w:pPr>
        <w:spacing w:line="360" w:lineRule="auto"/>
        <w:ind w:firstLine="480" w:firstLineChars="200"/>
        <w:rPr>
          <w:rFonts w:ascii="仿宋" w:hAnsi="仿宋"/>
        </w:rPr>
      </w:pPr>
      <w:r>
        <w:rPr>
          <w:rFonts w:hint="eastAsia" w:ascii="仿宋" w:hAnsi="仿宋"/>
        </w:rPr>
        <w:t>业务类型：</w:t>
      </w:r>
      <w:r>
        <w:rPr>
          <w:rFonts w:ascii="仿宋" w:hAnsi="仿宋"/>
        </w:rPr>
        <w:t>风险管理顾问服务；研究分析服务；交易咨询服务；中国证监会规定的其他活动。</w:t>
      </w:r>
    </w:p>
    <w:p>
      <w:pPr>
        <w:pStyle w:val="4"/>
        <w:rPr>
          <w:szCs w:val="24"/>
        </w:rPr>
      </w:pPr>
      <w:bookmarkStart w:id="460" w:name="_Toc400554030"/>
      <w:bookmarkStart w:id="461" w:name="_Toc410115217"/>
      <w:bookmarkStart w:id="462" w:name="_Toc3896833"/>
      <w:r>
        <w:rPr>
          <w:rFonts w:hint="eastAsia" w:ascii="仿宋" w:hAnsi="仿宋"/>
          <w:kern w:val="0"/>
          <w:szCs w:val="24"/>
        </w:rPr>
        <w:t>（二）</w:t>
      </w:r>
      <w:r>
        <w:rPr>
          <w:rFonts w:hint="eastAsia"/>
          <w:szCs w:val="24"/>
        </w:rPr>
        <w:t>开展投资咨询业务的合规原则；</w:t>
      </w:r>
      <w:bookmarkEnd w:id="460"/>
      <w:bookmarkEnd w:id="461"/>
      <w:bookmarkEnd w:id="462"/>
    </w:p>
    <w:p>
      <w:pPr>
        <w:spacing w:line="360" w:lineRule="auto"/>
        <w:ind w:firstLine="480" w:firstLineChars="200"/>
        <w:rPr>
          <w:rFonts w:ascii="仿宋" w:hAnsi="仿宋"/>
        </w:rPr>
      </w:pPr>
      <w:r>
        <w:rPr>
          <w:rFonts w:hint="eastAsia" w:ascii="仿宋" w:hAnsi="仿宋"/>
        </w:rPr>
        <w:t>依据：《期货公司期货投资咨询业务试行办法》第四条</w:t>
      </w:r>
    </w:p>
    <w:p>
      <w:pPr>
        <w:spacing w:line="360" w:lineRule="auto"/>
        <w:ind w:firstLine="480" w:firstLineChars="200"/>
        <w:rPr>
          <w:rFonts w:ascii="仿宋" w:hAnsi="仿宋"/>
        </w:rPr>
      </w:pPr>
      <w:r>
        <w:rPr>
          <w:rFonts w:ascii="仿宋" w:hAnsi="仿宋"/>
        </w:rPr>
        <w:t>期货公司及其从业人员从事期货投资咨询业务，应当遵守</w:t>
      </w:r>
      <w:r>
        <w:rPr>
          <w:rFonts w:hint="eastAsia" w:ascii="仿宋" w:hAnsi="仿宋"/>
        </w:rPr>
        <w:t>有关</w:t>
      </w:r>
      <w:r>
        <w:rPr>
          <w:rFonts w:ascii="仿宋" w:hAnsi="仿宋"/>
        </w:rPr>
        <w:t>法律</w:t>
      </w:r>
      <w:r>
        <w:rPr>
          <w:rFonts w:hint="eastAsia" w:ascii="仿宋" w:hAnsi="仿宋"/>
        </w:rPr>
        <w:t>、</w:t>
      </w:r>
      <w:r>
        <w:rPr>
          <w:rFonts w:ascii="仿宋" w:hAnsi="仿宋"/>
        </w:rPr>
        <w:t>法规</w:t>
      </w:r>
      <w:r>
        <w:rPr>
          <w:rFonts w:hint="eastAsia" w:ascii="仿宋" w:hAnsi="仿宋"/>
        </w:rPr>
        <w:t>、规章</w:t>
      </w:r>
      <w:r>
        <w:rPr>
          <w:rFonts w:ascii="仿宋" w:hAnsi="仿宋"/>
        </w:rPr>
        <w:t>和本办法规定，遵循诚实信用原则，基于独立、客观的立场，公平对待客户，避免利益冲突。</w:t>
      </w:r>
    </w:p>
    <w:p>
      <w:pPr>
        <w:pStyle w:val="4"/>
        <w:rPr>
          <w:szCs w:val="24"/>
        </w:rPr>
      </w:pPr>
      <w:bookmarkStart w:id="463" w:name="_Toc400554031"/>
      <w:bookmarkStart w:id="464" w:name="_Toc410115218"/>
      <w:bookmarkStart w:id="465" w:name="_Toc3896834"/>
      <w:r>
        <w:rPr>
          <w:rFonts w:hint="eastAsia" w:ascii="仿宋" w:hAnsi="仿宋"/>
          <w:kern w:val="0"/>
          <w:szCs w:val="24"/>
        </w:rPr>
        <w:t>（三）</w:t>
      </w:r>
      <w:r>
        <w:rPr>
          <w:rFonts w:hint="eastAsia"/>
          <w:szCs w:val="24"/>
        </w:rPr>
        <w:t>对投资咨询业务客户尽职调查内容和适当性评估原则、风险揭示要求；</w:t>
      </w:r>
      <w:bookmarkEnd w:id="463"/>
      <w:bookmarkEnd w:id="464"/>
      <w:bookmarkEnd w:id="465"/>
    </w:p>
    <w:p>
      <w:pPr>
        <w:spacing w:line="360" w:lineRule="auto"/>
        <w:ind w:firstLine="480" w:firstLineChars="200"/>
        <w:rPr>
          <w:rFonts w:ascii="仿宋" w:hAnsi="仿宋"/>
        </w:rPr>
      </w:pPr>
      <w:r>
        <w:rPr>
          <w:rFonts w:hint="eastAsia" w:ascii="仿宋" w:hAnsi="仿宋"/>
        </w:rPr>
        <w:t>依据：《期货公司期货投资咨询业务试行办法》</w:t>
      </w:r>
      <w:r>
        <w:rPr>
          <w:rFonts w:ascii="仿宋" w:hAnsi="仿宋"/>
        </w:rPr>
        <w:t>第十</w:t>
      </w:r>
      <w:r>
        <w:rPr>
          <w:rFonts w:hint="eastAsia" w:ascii="仿宋" w:hAnsi="仿宋"/>
        </w:rPr>
        <w:t>四</w:t>
      </w:r>
      <w:r>
        <w:rPr>
          <w:rFonts w:ascii="仿宋" w:hAnsi="仿宋"/>
        </w:rPr>
        <w:t>条</w:t>
      </w:r>
    </w:p>
    <w:p>
      <w:pPr>
        <w:spacing w:line="360" w:lineRule="auto"/>
        <w:ind w:firstLine="480" w:firstLineChars="200"/>
        <w:rPr>
          <w:rFonts w:ascii="仿宋" w:hAnsi="仿宋"/>
        </w:rPr>
      </w:pPr>
      <w:r>
        <w:rPr>
          <w:rFonts w:ascii="仿宋" w:hAnsi="仿宋"/>
        </w:rPr>
        <w:t>期货公司应当事前了解客户的身份、财务状况、投资经验等情况，认真评估客户的风险偏好、风险承受能力和服务需求，并以书面和电子形式保存客户相关信息。</w:t>
      </w:r>
    </w:p>
    <w:p>
      <w:pPr>
        <w:spacing w:line="360" w:lineRule="auto"/>
        <w:ind w:firstLine="480" w:firstLineChars="200"/>
        <w:rPr>
          <w:rFonts w:ascii="仿宋" w:hAnsi="仿宋"/>
        </w:rPr>
      </w:pPr>
      <w:r>
        <w:rPr>
          <w:rFonts w:ascii="仿宋" w:hAnsi="仿宋"/>
        </w:rPr>
        <w:t>期货公司应当针对客户期货投资咨询具体服务需求，揭示期货市场风险，明确告知客户独立承担期货市场风险。</w:t>
      </w:r>
    </w:p>
    <w:p>
      <w:pPr>
        <w:pStyle w:val="4"/>
        <w:rPr>
          <w:szCs w:val="24"/>
        </w:rPr>
      </w:pPr>
      <w:bookmarkStart w:id="466" w:name="_Toc400554032"/>
      <w:bookmarkStart w:id="467" w:name="_Toc410115219"/>
      <w:bookmarkStart w:id="468" w:name="_Toc3896835"/>
      <w:r>
        <w:rPr>
          <w:rFonts w:hint="eastAsia" w:ascii="仿宋" w:hAnsi="仿宋"/>
          <w:kern w:val="0"/>
          <w:szCs w:val="24"/>
        </w:rPr>
        <w:t>（四）</w:t>
      </w:r>
      <w:r>
        <w:rPr>
          <w:szCs w:val="24"/>
        </w:rPr>
        <w:t>公司应当与客户签订期货投资咨询服务合同的要求</w:t>
      </w:r>
      <w:bookmarkEnd w:id="466"/>
      <w:bookmarkEnd w:id="467"/>
      <w:r>
        <w:rPr>
          <w:rFonts w:hint="eastAsia"/>
          <w:szCs w:val="24"/>
        </w:rPr>
        <w:t>；</w:t>
      </w:r>
      <w:bookmarkEnd w:id="468"/>
    </w:p>
    <w:p>
      <w:pPr>
        <w:spacing w:line="360" w:lineRule="auto"/>
        <w:ind w:firstLine="480" w:firstLineChars="200"/>
        <w:rPr>
          <w:rFonts w:ascii="仿宋" w:hAnsi="仿宋"/>
        </w:rPr>
      </w:pPr>
      <w:r>
        <w:rPr>
          <w:rFonts w:hint="eastAsia" w:ascii="仿宋" w:hAnsi="仿宋"/>
        </w:rPr>
        <w:t>依据：《期货公司期货投资咨询业务试行办法》</w:t>
      </w:r>
      <w:r>
        <w:rPr>
          <w:rFonts w:ascii="仿宋" w:hAnsi="仿宋"/>
        </w:rPr>
        <w:t>第十</w:t>
      </w:r>
      <w:r>
        <w:rPr>
          <w:rFonts w:hint="eastAsia" w:ascii="仿宋" w:hAnsi="仿宋"/>
        </w:rPr>
        <w:t>五</w:t>
      </w:r>
      <w:r>
        <w:rPr>
          <w:rFonts w:ascii="仿宋" w:hAnsi="仿宋"/>
        </w:rPr>
        <w:t>条</w:t>
      </w:r>
    </w:p>
    <w:p>
      <w:pPr>
        <w:spacing w:line="360" w:lineRule="auto"/>
        <w:ind w:firstLine="480" w:firstLineChars="200"/>
        <w:rPr>
          <w:rFonts w:ascii="仿宋" w:hAnsi="仿宋"/>
        </w:rPr>
      </w:pPr>
      <w:r>
        <w:rPr>
          <w:rFonts w:ascii="仿宋" w:hAnsi="仿宋"/>
        </w:rPr>
        <w:t>期货公司应当与客户签订期货投资咨询服务合同，明确约定服务的具体内容和费用标准</w:t>
      </w:r>
      <w:r>
        <w:rPr>
          <w:rFonts w:hint="eastAsia" w:ascii="仿宋" w:hAnsi="仿宋"/>
        </w:rPr>
        <w:t>等相关事项</w:t>
      </w:r>
      <w:r>
        <w:rPr>
          <w:rFonts w:ascii="仿宋" w:hAnsi="仿宋"/>
        </w:rPr>
        <w:t>。</w:t>
      </w:r>
    </w:p>
    <w:p>
      <w:pPr>
        <w:pStyle w:val="4"/>
        <w:rPr>
          <w:szCs w:val="24"/>
        </w:rPr>
      </w:pPr>
      <w:bookmarkStart w:id="469" w:name="_Toc400554033"/>
      <w:bookmarkStart w:id="470" w:name="_Toc410115220"/>
      <w:bookmarkStart w:id="471" w:name="_Toc3896836"/>
      <w:r>
        <w:rPr>
          <w:rFonts w:hint="eastAsia" w:ascii="仿宋" w:hAnsi="仿宋"/>
          <w:kern w:val="0"/>
          <w:szCs w:val="24"/>
        </w:rPr>
        <w:t>（五）</w:t>
      </w:r>
      <w:r>
        <w:rPr>
          <w:rFonts w:hint="eastAsia"/>
          <w:szCs w:val="24"/>
        </w:rPr>
        <w:t>研究分析服务的注意事项和掌握防止研究报告被不当利用的措施；</w:t>
      </w:r>
      <w:bookmarkEnd w:id="469"/>
      <w:bookmarkEnd w:id="470"/>
      <w:bookmarkEnd w:id="471"/>
    </w:p>
    <w:p>
      <w:pPr>
        <w:spacing w:line="360" w:lineRule="auto"/>
        <w:ind w:firstLine="480" w:firstLineChars="200"/>
        <w:rPr>
          <w:rFonts w:ascii="仿宋" w:hAnsi="仿宋"/>
        </w:rPr>
      </w:pPr>
      <w:r>
        <w:rPr>
          <w:rFonts w:hint="eastAsia" w:ascii="仿宋" w:hAnsi="仿宋"/>
        </w:rPr>
        <w:t>依据：《期货公司期货投资咨询业务试行办法》</w:t>
      </w:r>
      <w:r>
        <w:rPr>
          <w:rFonts w:ascii="仿宋" w:hAnsi="仿宋"/>
        </w:rPr>
        <w:t>第十</w:t>
      </w:r>
      <w:r>
        <w:rPr>
          <w:rFonts w:hint="eastAsia" w:ascii="仿宋" w:hAnsi="仿宋"/>
        </w:rPr>
        <w:t>七</w:t>
      </w:r>
      <w:r>
        <w:rPr>
          <w:rFonts w:ascii="仿宋" w:hAnsi="仿宋"/>
        </w:rPr>
        <w:t>条</w:t>
      </w:r>
    </w:p>
    <w:p>
      <w:pPr>
        <w:spacing w:line="360" w:lineRule="auto"/>
        <w:ind w:firstLine="480" w:firstLineChars="200"/>
        <w:rPr>
          <w:rFonts w:ascii="仿宋" w:hAnsi="仿宋"/>
        </w:rPr>
      </w:pPr>
      <w:r>
        <w:rPr>
          <w:rFonts w:ascii="仿宋" w:hAnsi="仿宋"/>
        </w:rPr>
        <w:t>期货公司提供研究分析服务时，应当公平对待</w:t>
      </w:r>
      <w:r>
        <w:rPr>
          <w:rFonts w:hint="eastAsia" w:ascii="仿宋" w:hAnsi="仿宋"/>
        </w:rPr>
        <w:t>委托</w:t>
      </w:r>
      <w:r>
        <w:rPr>
          <w:rFonts w:ascii="仿宋" w:hAnsi="仿宋"/>
        </w:rPr>
        <w:t>客户</w:t>
      </w:r>
      <w:r>
        <w:rPr>
          <w:rFonts w:hint="eastAsia" w:ascii="仿宋" w:hAnsi="仿宋"/>
        </w:rPr>
        <w:t>，并</w:t>
      </w:r>
      <w:r>
        <w:rPr>
          <w:rFonts w:ascii="仿宋" w:hAnsi="仿宋"/>
        </w:rPr>
        <w:t>采取有效措施，保证研究分析人员独立形成研究分析意见和结论。</w:t>
      </w:r>
    </w:p>
    <w:p>
      <w:pPr>
        <w:spacing w:line="360" w:lineRule="auto"/>
        <w:ind w:firstLine="480" w:firstLineChars="200"/>
        <w:rPr>
          <w:rFonts w:ascii="仿宋" w:hAnsi="仿宋"/>
        </w:rPr>
      </w:pPr>
      <w:r>
        <w:rPr>
          <w:rFonts w:ascii="仿宋" w:hAnsi="仿宋"/>
        </w:rPr>
        <w:t>期货公司应当建立研究分析报告和资讯信息的审阅、管理及使用机制，对研究分析报告、资讯信息的使用进行审阅和合规检查。</w:t>
      </w:r>
    </w:p>
    <w:p>
      <w:pPr>
        <w:spacing w:line="360" w:lineRule="auto"/>
        <w:ind w:firstLine="480" w:firstLineChars="200"/>
        <w:rPr>
          <w:rFonts w:ascii="仿宋" w:hAnsi="仿宋"/>
        </w:rPr>
      </w:pPr>
      <w:r>
        <w:rPr>
          <w:rFonts w:ascii="仿宋" w:hAnsi="仿宋"/>
        </w:rPr>
        <w:t>期货公司应当采取有效措施，防止研究分析人员以及公司内部其他人员利用研究报告、资讯信息为自身及其他利益相关方谋取不当利益。</w:t>
      </w:r>
    </w:p>
    <w:p>
      <w:pPr>
        <w:pStyle w:val="4"/>
        <w:rPr>
          <w:szCs w:val="24"/>
        </w:rPr>
      </w:pPr>
      <w:bookmarkStart w:id="472" w:name="_Toc400554034"/>
      <w:bookmarkStart w:id="473" w:name="_Toc410115221"/>
      <w:bookmarkStart w:id="474" w:name="_Toc3896837"/>
      <w:r>
        <w:rPr>
          <w:rFonts w:hint="eastAsia" w:ascii="仿宋" w:hAnsi="仿宋"/>
          <w:kern w:val="0"/>
          <w:szCs w:val="24"/>
        </w:rPr>
        <w:t>（六）</w:t>
      </w:r>
      <w:r>
        <w:rPr>
          <w:rFonts w:hint="eastAsia"/>
          <w:szCs w:val="24"/>
        </w:rPr>
        <w:t>研究报告应载明事项和风险提示；</w:t>
      </w:r>
      <w:bookmarkEnd w:id="472"/>
      <w:bookmarkEnd w:id="473"/>
      <w:bookmarkEnd w:id="474"/>
    </w:p>
    <w:p>
      <w:pPr>
        <w:spacing w:line="360" w:lineRule="auto"/>
        <w:ind w:firstLine="480" w:firstLineChars="200"/>
        <w:rPr>
          <w:rFonts w:ascii="仿宋" w:hAnsi="仿宋"/>
        </w:rPr>
      </w:pPr>
      <w:r>
        <w:rPr>
          <w:rFonts w:hint="eastAsia" w:ascii="仿宋" w:hAnsi="仿宋"/>
        </w:rPr>
        <w:t>依据：《期货公司期货投资咨询业务试行办法》</w:t>
      </w:r>
      <w:r>
        <w:rPr>
          <w:rFonts w:ascii="仿宋" w:hAnsi="仿宋"/>
        </w:rPr>
        <w:t>第十</w:t>
      </w:r>
      <w:r>
        <w:rPr>
          <w:rFonts w:hint="eastAsia" w:ascii="仿宋" w:hAnsi="仿宋"/>
        </w:rPr>
        <w:t>八</w:t>
      </w:r>
      <w:r>
        <w:rPr>
          <w:rFonts w:ascii="仿宋" w:hAnsi="仿宋"/>
        </w:rPr>
        <w:t>条</w:t>
      </w:r>
    </w:p>
    <w:p>
      <w:pPr>
        <w:spacing w:line="360" w:lineRule="auto"/>
        <w:ind w:firstLine="480" w:firstLineChars="200"/>
        <w:rPr>
          <w:rFonts w:ascii="仿宋" w:hAnsi="仿宋"/>
        </w:rPr>
      </w:pPr>
      <w:r>
        <w:rPr>
          <w:rFonts w:ascii="仿宋" w:hAnsi="仿宋"/>
        </w:rPr>
        <w:t>研究分析报告应当制作形成适当的书面或者电子文本形式，载明期货公司名称及其业务资格、研究分析人员姓名、从业证号、制作日期等内容，同时注明相关信息资料的来源、研究分析意见的局限性与使用者风险提示。</w:t>
      </w:r>
    </w:p>
    <w:p>
      <w:pPr>
        <w:pStyle w:val="4"/>
        <w:rPr>
          <w:szCs w:val="24"/>
        </w:rPr>
      </w:pPr>
      <w:bookmarkStart w:id="475" w:name="_Toc400554035"/>
      <w:bookmarkStart w:id="476" w:name="_Toc410115222"/>
      <w:bookmarkStart w:id="477" w:name="_Toc3896838"/>
      <w:r>
        <w:rPr>
          <w:rFonts w:hint="eastAsia" w:ascii="仿宋" w:hAnsi="仿宋"/>
          <w:kern w:val="0"/>
          <w:szCs w:val="24"/>
        </w:rPr>
        <w:t>（七）</w:t>
      </w:r>
      <w:r>
        <w:rPr>
          <w:rFonts w:hint="eastAsia"/>
          <w:szCs w:val="24"/>
        </w:rPr>
        <w:t>期货公司交易咨询服务的规则；</w:t>
      </w:r>
      <w:bookmarkEnd w:id="475"/>
      <w:bookmarkEnd w:id="476"/>
      <w:bookmarkEnd w:id="477"/>
    </w:p>
    <w:p>
      <w:pPr>
        <w:spacing w:line="360" w:lineRule="auto"/>
        <w:ind w:firstLine="480" w:firstLineChars="200"/>
        <w:rPr>
          <w:rFonts w:ascii="仿宋" w:hAnsi="仿宋"/>
        </w:rPr>
      </w:pPr>
      <w:r>
        <w:rPr>
          <w:rFonts w:hint="eastAsia" w:ascii="仿宋" w:hAnsi="仿宋"/>
        </w:rPr>
        <w:t>依据：《期货公司期货投资咨询业务试行办法》</w:t>
      </w:r>
      <w:r>
        <w:rPr>
          <w:rFonts w:ascii="仿宋" w:hAnsi="仿宋"/>
        </w:rPr>
        <w:t>第十</w:t>
      </w:r>
      <w:r>
        <w:rPr>
          <w:rFonts w:hint="eastAsia" w:ascii="仿宋" w:hAnsi="仿宋"/>
        </w:rPr>
        <w:t>九</w:t>
      </w:r>
      <w:r>
        <w:rPr>
          <w:rFonts w:ascii="仿宋" w:hAnsi="仿宋"/>
        </w:rPr>
        <w:t>条</w:t>
      </w:r>
    </w:p>
    <w:p>
      <w:pPr>
        <w:spacing w:line="360" w:lineRule="auto"/>
        <w:ind w:firstLine="480" w:firstLineChars="200"/>
        <w:rPr>
          <w:rFonts w:ascii="仿宋" w:hAnsi="仿宋"/>
        </w:rPr>
      </w:pPr>
      <w:r>
        <w:rPr>
          <w:rFonts w:ascii="仿宋" w:hAnsi="仿宋"/>
        </w:rPr>
        <w:t>期货公司提供交易咨询服务时，应当向客户明示有无利益冲突，提示潜在的市场变化和投资风险，不得就市场行情做出确定性判断。</w:t>
      </w:r>
    </w:p>
    <w:p>
      <w:pPr>
        <w:spacing w:line="360" w:lineRule="auto"/>
        <w:ind w:firstLine="480" w:firstLineChars="200"/>
        <w:rPr>
          <w:rFonts w:ascii="仿宋" w:hAnsi="仿宋"/>
        </w:rPr>
      </w:pPr>
      <w:r>
        <w:rPr>
          <w:rFonts w:ascii="仿宋" w:hAnsi="仿宋"/>
        </w:rPr>
        <w:t>期货公司提供的投资方案或者期货交易策略应当以本公司的研究报告、合法取得的研究报告、相关行业信息资料以及公开发布的相关信息等为主要依据。</w:t>
      </w:r>
    </w:p>
    <w:p>
      <w:pPr>
        <w:spacing w:line="360" w:lineRule="auto"/>
        <w:ind w:firstLine="480" w:firstLineChars="200"/>
        <w:rPr>
          <w:rFonts w:ascii="仿宋" w:hAnsi="仿宋"/>
        </w:rPr>
      </w:pPr>
      <w:r>
        <w:rPr>
          <w:rFonts w:ascii="仿宋" w:hAnsi="仿宋"/>
        </w:rPr>
        <w:t>期货公司应当告知客户自主做出期货交易决策，独立承担期货交易后果，并不得泄露客户的投资决策计划信息。</w:t>
      </w:r>
    </w:p>
    <w:p>
      <w:pPr>
        <w:pStyle w:val="4"/>
        <w:rPr>
          <w:szCs w:val="24"/>
        </w:rPr>
      </w:pPr>
      <w:bookmarkStart w:id="478" w:name="_Toc400554036"/>
      <w:bookmarkStart w:id="479" w:name="_Toc410115223"/>
      <w:bookmarkStart w:id="480" w:name="_Toc3896839"/>
      <w:r>
        <w:rPr>
          <w:rFonts w:hint="eastAsia" w:ascii="仿宋" w:hAnsi="仿宋"/>
          <w:kern w:val="0"/>
          <w:szCs w:val="24"/>
        </w:rPr>
        <w:t>（八）</w:t>
      </w:r>
      <w:r>
        <w:rPr>
          <w:rFonts w:hint="eastAsia"/>
          <w:szCs w:val="24"/>
        </w:rPr>
        <w:t>以交易软件、终端设备为载体开展交易咨询业务的规则；</w:t>
      </w:r>
      <w:bookmarkEnd w:id="478"/>
      <w:bookmarkEnd w:id="479"/>
      <w:bookmarkEnd w:id="480"/>
    </w:p>
    <w:p>
      <w:pPr>
        <w:spacing w:line="360" w:lineRule="auto"/>
        <w:ind w:firstLine="480" w:firstLineChars="200"/>
        <w:rPr>
          <w:rFonts w:ascii="仿宋" w:hAnsi="仿宋"/>
        </w:rPr>
      </w:pPr>
      <w:r>
        <w:rPr>
          <w:rFonts w:hint="eastAsia" w:ascii="仿宋" w:hAnsi="仿宋"/>
        </w:rPr>
        <w:t>依据：</w:t>
      </w:r>
      <w:r>
        <w:rPr>
          <w:rFonts w:ascii="仿宋" w:hAnsi="仿宋"/>
        </w:rPr>
        <w:t>《</w:t>
      </w:r>
      <w:r>
        <w:rPr>
          <w:rFonts w:hint="eastAsia" w:ascii="仿宋" w:hAnsi="仿宋"/>
        </w:rPr>
        <w:t>期货公司期货投资咨询业务试行办法》</w:t>
      </w:r>
      <w:r>
        <w:rPr>
          <w:rFonts w:ascii="仿宋" w:hAnsi="仿宋"/>
        </w:rPr>
        <w:t>第二十</w:t>
      </w:r>
      <w:r>
        <w:rPr>
          <w:rFonts w:hint="eastAsia" w:ascii="仿宋" w:hAnsi="仿宋"/>
        </w:rPr>
        <w:t>条</w:t>
      </w:r>
    </w:p>
    <w:p>
      <w:pPr>
        <w:spacing w:line="360" w:lineRule="auto"/>
        <w:ind w:firstLine="480" w:firstLineChars="200"/>
        <w:rPr>
          <w:rFonts w:ascii="仿宋" w:hAnsi="仿宋"/>
        </w:rPr>
      </w:pPr>
      <w:r>
        <w:rPr>
          <w:rFonts w:ascii="仿宋" w:hAnsi="仿宋"/>
        </w:rPr>
        <w:t>期货公司以期货交易软件、终端设备为载体，向客户提供交易咨询服务或者具有类似功能服务的，应当执行本办法，并向客户说明交易软件、终端设备的基本功能，揭示使用局限性，说明相关数据信息来源，不得对交易软件、终端设备的使用价值或功能作出虚假、误导性宣传。</w:t>
      </w:r>
    </w:p>
    <w:p>
      <w:pPr>
        <w:pStyle w:val="4"/>
        <w:rPr>
          <w:szCs w:val="24"/>
        </w:rPr>
      </w:pPr>
      <w:bookmarkStart w:id="481" w:name="_Toc400554037"/>
      <w:bookmarkStart w:id="482" w:name="_Toc410115224"/>
      <w:bookmarkStart w:id="483" w:name="_Toc3896840"/>
      <w:r>
        <w:rPr>
          <w:rFonts w:hint="eastAsia" w:ascii="仿宋" w:hAnsi="仿宋"/>
          <w:kern w:val="0"/>
          <w:szCs w:val="24"/>
        </w:rPr>
        <w:t>（九）</w:t>
      </w:r>
      <w:r>
        <w:rPr>
          <w:rFonts w:hint="eastAsia"/>
          <w:szCs w:val="24"/>
        </w:rPr>
        <w:t>投资咨询业务和其他业务的防范利益冲突的要求和信息隔离机制，常用的信息隔离方法；</w:t>
      </w:r>
      <w:bookmarkEnd w:id="481"/>
      <w:bookmarkEnd w:id="482"/>
      <w:bookmarkEnd w:id="483"/>
    </w:p>
    <w:p>
      <w:pPr>
        <w:spacing w:line="360" w:lineRule="auto"/>
        <w:ind w:firstLine="480" w:firstLineChars="200"/>
        <w:rPr>
          <w:rFonts w:ascii="仿宋" w:hAnsi="仿宋"/>
        </w:rPr>
      </w:pPr>
      <w:r>
        <w:rPr>
          <w:rFonts w:hint="eastAsia" w:ascii="仿宋" w:hAnsi="仿宋"/>
        </w:rPr>
        <w:t>依据：《期货公司期货投资咨询业务试行办法》</w:t>
      </w:r>
      <w:r>
        <w:rPr>
          <w:rFonts w:ascii="仿宋" w:hAnsi="仿宋"/>
        </w:rPr>
        <w:t>第二十三</w:t>
      </w:r>
      <w:r>
        <w:rPr>
          <w:rFonts w:hint="eastAsia" w:ascii="仿宋" w:hAnsi="仿宋"/>
        </w:rPr>
        <w:t>条</w:t>
      </w:r>
    </w:p>
    <w:p>
      <w:pPr>
        <w:spacing w:line="360" w:lineRule="auto"/>
        <w:ind w:firstLine="480" w:firstLineChars="200"/>
        <w:rPr>
          <w:rFonts w:ascii="仿宋" w:hAnsi="仿宋"/>
        </w:rPr>
      </w:pPr>
      <w:r>
        <w:rPr>
          <w:rFonts w:hint="eastAsia" w:ascii="仿宋" w:hAnsi="仿宋"/>
        </w:rPr>
        <w:t>期货公司应当制定防范期货投资咨询业务与其他期货业务之间利益冲突的管理制度，建立健全信息隔离机制，并保持办公场所和办公设备相对独立。</w:t>
      </w:r>
    </w:p>
    <w:p>
      <w:pPr>
        <w:spacing w:line="360" w:lineRule="auto"/>
        <w:ind w:firstLine="480" w:firstLineChars="200"/>
        <w:rPr>
          <w:rFonts w:ascii="仿宋" w:hAnsi="仿宋"/>
        </w:rPr>
      </w:pPr>
      <w:r>
        <w:rPr>
          <w:rFonts w:hint="eastAsia" w:ascii="仿宋" w:hAnsi="仿宋"/>
        </w:rPr>
        <w:t>期货投资咨询业务活动之间可能发生利益冲突的，期货公司应当作出必要的岗位独立、信息隔离和人员回避等工作安排。</w:t>
      </w:r>
    </w:p>
    <w:p>
      <w:pPr>
        <w:spacing w:line="360" w:lineRule="auto"/>
        <w:ind w:firstLine="480" w:firstLineChars="200"/>
        <w:rPr>
          <w:rFonts w:ascii="仿宋" w:hAnsi="仿宋"/>
        </w:rPr>
      </w:pPr>
      <w:r>
        <w:rPr>
          <w:rFonts w:hint="eastAsia" w:ascii="仿宋" w:hAnsi="仿宋"/>
        </w:rPr>
        <w:t>期货公司首席风险官应当对前款规定事项进行检查落实。</w:t>
      </w:r>
    </w:p>
    <w:p>
      <w:pPr>
        <w:spacing w:line="360" w:lineRule="auto"/>
        <w:ind w:firstLine="480" w:firstLineChars="200"/>
        <w:rPr>
          <w:rFonts w:ascii="仿宋" w:hAnsi="仿宋"/>
        </w:rPr>
      </w:pPr>
    </w:p>
    <w:p>
      <w:pPr>
        <w:pStyle w:val="4"/>
        <w:rPr>
          <w:szCs w:val="24"/>
        </w:rPr>
      </w:pPr>
      <w:bookmarkStart w:id="484" w:name="_Toc400554038"/>
      <w:bookmarkStart w:id="485" w:name="_Toc410115225"/>
      <w:bookmarkStart w:id="486" w:name="_Toc3896841"/>
      <w:r>
        <w:rPr>
          <w:rFonts w:hint="eastAsia" w:ascii="仿宋" w:hAnsi="仿宋"/>
          <w:kern w:val="0"/>
          <w:szCs w:val="24"/>
        </w:rPr>
        <w:t>（十）</w:t>
      </w:r>
      <w:r>
        <w:rPr>
          <w:rFonts w:hint="eastAsia"/>
          <w:szCs w:val="24"/>
        </w:rPr>
        <w:t>投资咨询业务的部门设置要求和公司统一管理要求；</w:t>
      </w:r>
      <w:bookmarkEnd w:id="484"/>
      <w:bookmarkEnd w:id="485"/>
      <w:bookmarkEnd w:id="486"/>
    </w:p>
    <w:p>
      <w:pPr>
        <w:spacing w:line="360" w:lineRule="auto"/>
        <w:ind w:firstLine="480" w:firstLineChars="200"/>
        <w:rPr>
          <w:rFonts w:ascii="仿宋" w:hAnsi="仿宋"/>
        </w:rPr>
      </w:pPr>
      <w:r>
        <w:rPr>
          <w:rFonts w:hint="eastAsia" w:ascii="仿宋" w:hAnsi="仿宋"/>
        </w:rPr>
        <w:t>依据：《期货公司期货投资咨询业务试行办法》</w:t>
      </w:r>
      <w:r>
        <w:rPr>
          <w:rFonts w:ascii="仿宋" w:hAnsi="仿宋"/>
        </w:rPr>
        <w:t>第二十五</w:t>
      </w:r>
      <w:r>
        <w:rPr>
          <w:rFonts w:hint="eastAsia" w:ascii="仿宋" w:hAnsi="仿宋"/>
        </w:rPr>
        <w:t>条</w:t>
      </w:r>
    </w:p>
    <w:p>
      <w:pPr>
        <w:spacing w:line="360" w:lineRule="auto"/>
        <w:ind w:firstLine="480" w:firstLineChars="200"/>
        <w:rPr>
          <w:rFonts w:ascii="仿宋" w:hAnsi="仿宋"/>
        </w:rPr>
      </w:pPr>
      <w:r>
        <w:rPr>
          <w:rFonts w:ascii="仿宋" w:hAnsi="仿宋"/>
        </w:rPr>
        <w:t>期货公司总部应当设立独立的部门</w:t>
      </w:r>
      <w:r>
        <w:rPr>
          <w:rFonts w:hint="eastAsia" w:ascii="仿宋" w:hAnsi="仿宋"/>
        </w:rPr>
        <w:t>，</w:t>
      </w:r>
      <w:r>
        <w:rPr>
          <w:rFonts w:ascii="仿宋" w:hAnsi="仿宋"/>
        </w:rPr>
        <w:t>对期货投资咨询业务实行统一管理</w:t>
      </w:r>
      <w:r>
        <w:rPr>
          <w:rFonts w:hint="eastAsia" w:ascii="仿宋" w:hAnsi="仿宋"/>
        </w:rPr>
        <w:t>。</w:t>
      </w:r>
    </w:p>
    <w:p>
      <w:pPr>
        <w:spacing w:line="360" w:lineRule="auto"/>
        <w:ind w:firstLine="480" w:firstLineChars="200"/>
        <w:rPr>
          <w:rFonts w:ascii="仿宋" w:hAnsi="仿宋"/>
        </w:rPr>
      </w:pPr>
      <w:r>
        <w:rPr>
          <w:rFonts w:hint="eastAsia" w:ascii="仿宋" w:hAnsi="仿宋"/>
        </w:rPr>
        <w:t>期货公司</w:t>
      </w:r>
      <w:r>
        <w:rPr>
          <w:rFonts w:ascii="仿宋" w:hAnsi="仿宋"/>
        </w:rPr>
        <w:t>营业部应当在公司总部的统一管理下对外提供期货投资咨询服务。</w:t>
      </w:r>
    </w:p>
    <w:p>
      <w:pPr>
        <w:pStyle w:val="4"/>
        <w:rPr>
          <w:szCs w:val="24"/>
        </w:rPr>
      </w:pPr>
      <w:bookmarkStart w:id="487" w:name="_Toc400554039"/>
      <w:bookmarkStart w:id="488" w:name="_Toc410115226"/>
      <w:bookmarkStart w:id="489" w:name="_Toc3896842"/>
      <w:r>
        <w:rPr>
          <w:rFonts w:hint="eastAsia" w:ascii="仿宋" w:hAnsi="仿宋"/>
          <w:kern w:val="0"/>
          <w:szCs w:val="24"/>
        </w:rPr>
        <w:t>（十一）</w:t>
      </w:r>
      <w:r>
        <w:rPr>
          <w:rFonts w:hint="eastAsia"/>
          <w:szCs w:val="24"/>
        </w:rPr>
        <w:t>投资咨询业务以公司名义开展的要求；</w:t>
      </w:r>
      <w:bookmarkEnd w:id="487"/>
      <w:bookmarkEnd w:id="488"/>
      <w:bookmarkEnd w:id="489"/>
    </w:p>
    <w:p>
      <w:pPr>
        <w:spacing w:line="360" w:lineRule="auto"/>
        <w:ind w:firstLine="480" w:firstLineChars="200"/>
        <w:rPr>
          <w:rFonts w:ascii="仿宋" w:hAnsi="仿宋"/>
        </w:rPr>
      </w:pPr>
      <w:r>
        <w:rPr>
          <w:rFonts w:hint="eastAsia" w:ascii="仿宋" w:hAnsi="仿宋"/>
        </w:rPr>
        <w:t>依据：《期货公司期货投资咨询业务试行办法》</w:t>
      </w:r>
      <w:r>
        <w:rPr>
          <w:rFonts w:ascii="仿宋" w:hAnsi="仿宋"/>
        </w:rPr>
        <w:t>第二十六</w:t>
      </w:r>
      <w:r>
        <w:rPr>
          <w:rFonts w:hint="eastAsia" w:ascii="仿宋" w:hAnsi="仿宋"/>
        </w:rPr>
        <w:t>条</w:t>
      </w:r>
    </w:p>
    <w:p>
      <w:pPr>
        <w:spacing w:line="360" w:lineRule="auto"/>
        <w:ind w:firstLine="480" w:firstLineChars="200"/>
        <w:rPr>
          <w:rFonts w:ascii="仿宋" w:hAnsi="仿宋"/>
        </w:rPr>
      </w:pPr>
      <w:r>
        <w:rPr>
          <w:rFonts w:ascii="仿宋" w:hAnsi="仿宋"/>
        </w:rPr>
        <w:t>期货投资咨询业务人员应当以期货公司名义开展期货投资咨询业务活动，不得以个人名义为客户提供期货投资咨询服务。</w:t>
      </w:r>
    </w:p>
    <w:p>
      <w:pPr>
        <w:pStyle w:val="4"/>
        <w:rPr>
          <w:szCs w:val="24"/>
        </w:rPr>
      </w:pPr>
      <w:bookmarkStart w:id="490" w:name="_Toc400554040"/>
      <w:bookmarkStart w:id="491" w:name="_Toc410115227"/>
      <w:bookmarkStart w:id="492" w:name="_Toc3896843"/>
      <w:r>
        <w:rPr>
          <w:rFonts w:hint="eastAsia" w:ascii="仿宋" w:hAnsi="仿宋"/>
          <w:kern w:val="0"/>
          <w:szCs w:val="24"/>
        </w:rPr>
        <w:t>（十二）</w:t>
      </w:r>
      <w:r>
        <w:rPr>
          <w:rFonts w:hint="eastAsia"/>
          <w:szCs w:val="24"/>
        </w:rPr>
        <w:t>投资咨询业务人员不得兼任岗位的要求；</w:t>
      </w:r>
      <w:bookmarkEnd w:id="490"/>
      <w:bookmarkEnd w:id="491"/>
      <w:bookmarkEnd w:id="492"/>
    </w:p>
    <w:p>
      <w:pPr>
        <w:spacing w:line="360" w:lineRule="auto"/>
        <w:ind w:firstLine="480" w:firstLineChars="200"/>
        <w:rPr>
          <w:rFonts w:ascii="仿宋" w:hAnsi="仿宋"/>
        </w:rPr>
      </w:pPr>
      <w:r>
        <w:rPr>
          <w:rFonts w:hint="eastAsia" w:ascii="仿宋" w:hAnsi="仿宋"/>
        </w:rPr>
        <w:t>依据：《期货公司期货投资咨询业务试行办法》</w:t>
      </w:r>
      <w:r>
        <w:rPr>
          <w:rFonts w:ascii="仿宋" w:hAnsi="仿宋"/>
        </w:rPr>
        <w:t>第二十七</w:t>
      </w:r>
      <w:r>
        <w:rPr>
          <w:rFonts w:hint="eastAsia" w:ascii="仿宋" w:hAnsi="仿宋"/>
        </w:rPr>
        <w:t>条</w:t>
      </w:r>
    </w:p>
    <w:p>
      <w:pPr>
        <w:spacing w:line="360" w:lineRule="auto"/>
        <w:ind w:firstLine="480" w:firstLineChars="200"/>
        <w:rPr>
          <w:rFonts w:ascii="仿宋" w:hAnsi="仿宋"/>
        </w:rPr>
      </w:pPr>
      <w:r>
        <w:rPr>
          <w:rFonts w:ascii="仿宋" w:hAnsi="仿宋"/>
        </w:rPr>
        <w:t>期货投资咨询业务人员应当与交易、结算、风险控制、财务、技术等业务人员岗位独立，职责分离</w:t>
      </w:r>
      <w:r>
        <w:rPr>
          <w:rFonts w:hint="eastAsia" w:ascii="仿宋" w:hAnsi="仿宋"/>
        </w:rPr>
        <w:t>。</w:t>
      </w:r>
    </w:p>
    <w:p>
      <w:pPr>
        <w:pStyle w:val="4"/>
        <w:rPr>
          <w:szCs w:val="24"/>
        </w:rPr>
      </w:pPr>
      <w:bookmarkStart w:id="493" w:name="_Toc400554041"/>
      <w:bookmarkStart w:id="494" w:name="_Toc410115228"/>
      <w:bookmarkStart w:id="495" w:name="_Toc3896844"/>
      <w:r>
        <w:rPr>
          <w:rFonts w:hint="eastAsia" w:ascii="仿宋" w:hAnsi="仿宋"/>
          <w:kern w:val="0"/>
          <w:szCs w:val="24"/>
        </w:rPr>
        <w:t>（十三）</w:t>
      </w:r>
      <w:r>
        <w:rPr>
          <w:rFonts w:hint="eastAsia"/>
          <w:szCs w:val="24"/>
        </w:rPr>
        <w:t>首风季报年报对投资咨询业务的检查内容和重点；</w:t>
      </w:r>
      <w:bookmarkEnd w:id="493"/>
      <w:bookmarkEnd w:id="494"/>
      <w:bookmarkEnd w:id="495"/>
      <w:r>
        <w:rPr>
          <w:rFonts w:hint="eastAsia"/>
          <w:szCs w:val="24"/>
        </w:rPr>
        <w:t xml:space="preserve"> </w:t>
      </w:r>
    </w:p>
    <w:p>
      <w:pPr>
        <w:spacing w:line="360" w:lineRule="auto"/>
        <w:ind w:firstLine="480" w:firstLineChars="200"/>
        <w:rPr>
          <w:rFonts w:ascii="仿宋" w:hAnsi="仿宋"/>
        </w:rPr>
      </w:pPr>
      <w:r>
        <w:rPr>
          <w:rFonts w:hint="eastAsia" w:ascii="仿宋" w:hAnsi="仿宋"/>
        </w:rPr>
        <w:t>依据：《期货公司期货投资咨询业务试行办法》</w:t>
      </w:r>
      <w:r>
        <w:rPr>
          <w:rFonts w:ascii="仿宋" w:hAnsi="仿宋"/>
        </w:rPr>
        <w:t>第二十九</w:t>
      </w:r>
      <w:r>
        <w:rPr>
          <w:rFonts w:hint="eastAsia" w:ascii="仿宋" w:hAnsi="仿宋"/>
        </w:rPr>
        <w:t>条</w:t>
      </w:r>
    </w:p>
    <w:p>
      <w:pPr>
        <w:spacing w:line="360" w:lineRule="auto"/>
        <w:ind w:firstLine="480" w:firstLineChars="200"/>
        <w:rPr>
          <w:rFonts w:ascii="仿宋" w:hAnsi="仿宋"/>
        </w:rPr>
      </w:pPr>
      <w:r>
        <w:rPr>
          <w:rFonts w:ascii="仿宋" w:hAnsi="仿宋"/>
        </w:rPr>
        <w:t>期货公司首席风险官负责监督期货投资咨询业务管理制度的制定和执行，对期货投资咨询业务的合规性定期检查，并依法履行督促整改和报告职责。</w:t>
      </w:r>
    </w:p>
    <w:p>
      <w:pPr>
        <w:spacing w:line="360" w:lineRule="auto"/>
        <w:ind w:firstLine="480" w:firstLineChars="200"/>
        <w:rPr>
          <w:rFonts w:ascii="仿宋" w:hAnsi="仿宋"/>
        </w:rPr>
      </w:pPr>
      <w:r>
        <w:rPr>
          <w:rFonts w:ascii="仿宋" w:hAnsi="仿宋"/>
        </w:rPr>
        <w:t>期货公司首席风险官向住所地</w:t>
      </w:r>
      <w:r>
        <w:rPr>
          <w:rFonts w:hint="eastAsia" w:ascii="仿宋" w:hAnsi="仿宋"/>
        </w:rPr>
        <w:t>中国证监会</w:t>
      </w:r>
      <w:r>
        <w:rPr>
          <w:rFonts w:ascii="仿宋" w:hAnsi="仿宋"/>
        </w:rPr>
        <w:t>派出机构报送的季度报告、年度报告中，应当包括本公司期货投资咨询业务的合规</w:t>
      </w:r>
      <w:r>
        <w:rPr>
          <w:rFonts w:hint="eastAsia" w:ascii="仿宋" w:hAnsi="仿宋"/>
        </w:rPr>
        <w:t>性</w:t>
      </w:r>
      <w:r>
        <w:rPr>
          <w:rFonts w:ascii="仿宋" w:hAnsi="仿宋"/>
        </w:rPr>
        <w:t>及其检查情况</w:t>
      </w:r>
      <w:r>
        <w:rPr>
          <w:rFonts w:hint="eastAsia" w:ascii="仿宋" w:hAnsi="仿宋"/>
        </w:rPr>
        <w:t>，并重点就防范利益冲突作出说明</w:t>
      </w:r>
      <w:r>
        <w:rPr>
          <w:rFonts w:ascii="仿宋" w:hAnsi="仿宋"/>
        </w:rPr>
        <w:t>。</w:t>
      </w:r>
    </w:p>
    <w:p>
      <w:pPr>
        <w:pStyle w:val="4"/>
        <w:rPr>
          <w:szCs w:val="24"/>
        </w:rPr>
      </w:pPr>
      <w:bookmarkStart w:id="496" w:name="_Toc400554042"/>
      <w:bookmarkStart w:id="497" w:name="_Toc410115229"/>
      <w:bookmarkStart w:id="498" w:name="_Toc3896845"/>
      <w:r>
        <w:rPr>
          <w:rFonts w:hint="eastAsia" w:ascii="仿宋" w:hAnsi="仿宋"/>
          <w:kern w:val="0"/>
          <w:szCs w:val="24"/>
        </w:rPr>
        <w:t>（十四）</w:t>
      </w:r>
      <w:r>
        <w:rPr>
          <w:rFonts w:hint="eastAsia"/>
          <w:szCs w:val="24"/>
        </w:rPr>
        <w:t>期货公司或其从业人员可能被处罚的违规行为；</w:t>
      </w:r>
      <w:bookmarkEnd w:id="496"/>
      <w:bookmarkEnd w:id="497"/>
      <w:bookmarkEnd w:id="498"/>
    </w:p>
    <w:p>
      <w:pPr>
        <w:spacing w:line="360" w:lineRule="auto"/>
        <w:ind w:firstLine="480" w:firstLineChars="200"/>
        <w:rPr>
          <w:rFonts w:ascii="仿宋" w:hAnsi="仿宋"/>
        </w:rPr>
      </w:pPr>
      <w:r>
        <w:rPr>
          <w:rFonts w:hint="eastAsia" w:ascii="仿宋" w:hAnsi="仿宋"/>
        </w:rPr>
        <w:t>依据：《期货公司期货投资咨询业务试行办法》</w:t>
      </w:r>
      <w:r>
        <w:rPr>
          <w:rFonts w:ascii="仿宋" w:hAnsi="仿宋"/>
        </w:rPr>
        <w:t>第</w:t>
      </w:r>
      <w:r>
        <w:rPr>
          <w:rFonts w:hint="eastAsia" w:ascii="仿宋" w:hAnsi="仿宋"/>
        </w:rPr>
        <w:t>三</w:t>
      </w:r>
      <w:r>
        <w:rPr>
          <w:rFonts w:ascii="仿宋" w:hAnsi="仿宋"/>
        </w:rPr>
        <w:t>十</w:t>
      </w:r>
      <w:r>
        <w:rPr>
          <w:rFonts w:hint="eastAsia" w:ascii="仿宋" w:hAnsi="仿宋"/>
        </w:rPr>
        <w:t>一</w:t>
      </w:r>
      <w:r>
        <w:rPr>
          <w:rFonts w:ascii="仿宋" w:hAnsi="仿宋"/>
        </w:rPr>
        <w:t>条、第</w:t>
      </w:r>
      <w:r>
        <w:rPr>
          <w:rFonts w:hint="eastAsia" w:ascii="仿宋" w:hAnsi="仿宋"/>
        </w:rPr>
        <w:t>三</w:t>
      </w:r>
      <w:r>
        <w:rPr>
          <w:rFonts w:ascii="仿宋" w:hAnsi="仿宋"/>
        </w:rPr>
        <w:t>十</w:t>
      </w:r>
      <w:r>
        <w:rPr>
          <w:rFonts w:hint="eastAsia" w:ascii="仿宋" w:hAnsi="仿宋"/>
        </w:rPr>
        <w:t>二</w:t>
      </w:r>
      <w:r>
        <w:rPr>
          <w:rFonts w:ascii="仿宋" w:hAnsi="仿宋"/>
        </w:rPr>
        <w:t>条。</w:t>
      </w:r>
    </w:p>
    <w:p>
      <w:pPr>
        <w:spacing w:line="360" w:lineRule="auto"/>
        <w:ind w:firstLine="480" w:firstLineChars="200"/>
        <w:rPr>
          <w:rFonts w:ascii="仿宋" w:hAnsi="仿宋"/>
        </w:rPr>
      </w:pPr>
      <w:r>
        <w:rPr>
          <w:rFonts w:ascii="仿宋" w:hAnsi="仿宋"/>
        </w:rPr>
        <w:t>第</w:t>
      </w:r>
      <w:r>
        <w:rPr>
          <w:rFonts w:hint="eastAsia" w:ascii="仿宋" w:hAnsi="仿宋"/>
        </w:rPr>
        <w:t>三</w:t>
      </w:r>
      <w:r>
        <w:rPr>
          <w:rFonts w:ascii="仿宋" w:hAnsi="仿宋"/>
        </w:rPr>
        <w:t>十</w:t>
      </w:r>
      <w:r>
        <w:rPr>
          <w:rFonts w:hint="eastAsia" w:ascii="仿宋" w:hAnsi="仿宋"/>
        </w:rPr>
        <w:t>一</w:t>
      </w:r>
      <w:r>
        <w:rPr>
          <w:rFonts w:ascii="仿宋" w:hAnsi="仿宋"/>
        </w:rPr>
        <w:t>条：</w:t>
      </w:r>
    </w:p>
    <w:p>
      <w:pPr>
        <w:spacing w:line="360" w:lineRule="auto"/>
        <w:ind w:firstLine="480" w:firstLineChars="200"/>
        <w:rPr>
          <w:rFonts w:ascii="仿宋" w:hAnsi="仿宋"/>
        </w:rPr>
      </w:pPr>
      <w:r>
        <w:rPr>
          <w:rFonts w:ascii="仿宋" w:hAnsi="仿宋"/>
        </w:rPr>
        <w:t>（一）期货公司未取得规定资格从事期货投资咨询业务活动的；</w:t>
      </w:r>
    </w:p>
    <w:p>
      <w:pPr>
        <w:spacing w:line="360" w:lineRule="auto"/>
        <w:ind w:firstLine="480" w:firstLineChars="200"/>
        <w:rPr>
          <w:rFonts w:ascii="仿宋" w:hAnsi="仿宋"/>
        </w:rPr>
      </w:pPr>
      <w:r>
        <w:rPr>
          <w:rFonts w:ascii="仿宋" w:hAnsi="仿宋"/>
        </w:rPr>
        <w:t xml:space="preserve">（二）任用不具备相应资格的人员从事期货投资咨询业务活动的； </w:t>
      </w:r>
    </w:p>
    <w:p>
      <w:pPr>
        <w:spacing w:line="360" w:lineRule="auto"/>
        <w:ind w:firstLine="480" w:firstLineChars="200"/>
        <w:rPr>
          <w:rFonts w:ascii="仿宋" w:hAnsi="仿宋"/>
        </w:rPr>
      </w:pPr>
      <w:r>
        <w:rPr>
          <w:rFonts w:ascii="仿宋" w:hAnsi="仿宋"/>
        </w:rPr>
        <w:t>第</w:t>
      </w:r>
      <w:r>
        <w:rPr>
          <w:rFonts w:hint="eastAsia" w:ascii="仿宋" w:hAnsi="仿宋"/>
        </w:rPr>
        <w:t>三</w:t>
      </w:r>
      <w:r>
        <w:rPr>
          <w:rFonts w:ascii="仿宋" w:hAnsi="仿宋"/>
        </w:rPr>
        <w:t>十</w:t>
      </w:r>
      <w:r>
        <w:rPr>
          <w:rFonts w:hint="eastAsia" w:ascii="仿宋" w:hAnsi="仿宋"/>
        </w:rPr>
        <w:t>二</w:t>
      </w:r>
      <w:r>
        <w:rPr>
          <w:rFonts w:ascii="仿宋" w:hAnsi="仿宋"/>
        </w:rPr>
        <w:t>条：</w:t>
      </w:r>
    </w:p>
    <w:p>
      <w:pPr>
        <w:spacing w:line="360" w:lineRule="auto"/>
        <w:ind w:firstLine="480" w:firstLineChars="200"/>
        <w:rPr>
          <w:rFonts w:ascii="仿宋" w:hAnsi="仿宋"/>
        </w:rPr>
      </w:pPr>
      <w:r>
        <w:rPr>
          <w:rFonts w:ascii="仿宋" w:hAnsi="仿宋"/>
        </w:rPr>
        <w:t>（一）对期货投资咨询服务能力进行虚假、误导性宣传，欺诈或者误导客户；</w:t>
      </w:r>
    </w:p>
    <w:p>
      <w:pPr>
        <w:spacing w:line="360" w:lineRule="auto"/>
        <w:ind w:firstLine="480" w:firstLineChars="200"/>
        <w:rPr>
          <w:rFonts w:ascii="仿宋" w:hAnsi="仿宋"/>
        </w:rPr>
      </w:pPr>
      <w:r>
        <w:rPr>
          <w:rFonts w:ascii="仿宋" w:hAnsi="仿宋"/>
        </w:rPr>
        <w:t>（二）高级管理人员缺位或者业务部门人员低于规定要求；</w:t>
      </w:r>
    </w:p>
    <w:p>
      <w:pPr>
        <w:spacing w:line="360" w:lineRule="auto"/>
        <w:ind w:firstLine="480" w:firstLineChars="200"/>
        <w:rPr>
          <w:rFonts w:ascii="仿宋" w:hAnsi="仿宋"/>
        </w:rPr>
      </w:pPr>
      <w:r>
        <w:rPr>
          <w:rFonts w:ascii="仿宋" w:hAnsi="仿宋"/>
        </w:rPr>
        <w:t>（三）以个人名义为客户提供期货投资咨询服务；</w:t>
      </w:r>
    </w:p>
    <w:p>
      <w:pPr>
        <w:spacing w:line="360" w:lineRule="auto"/>
        <w:ind w:firstLine="480" w:firstLineChars="200"/>
        <w:rPr>
          <w:rFonts w:ascii="仿宋" w:hAnsi="仿宋"/>
        </w:rPr>
      </w:pPr>
      <w:r>
        <w:rPr>
          <w:rFonts w:ascii="仿宋" w:hAnsi="仿宋"/>
        </w:rPr>
        <w:t>（四）违反本办法第十</w:t>
      </w:r>
      <w:r>
        <w:rPr>
          <w:rFonts w:hint="eastAsia" w:ascii="仿宋" w:hAnsi="仿宋"/>
        </w:rPr>
        <w:t>三</w:t>
      </w:r>
      <w:r>
        <w:rPr>
          <w:rFonts w:ascii="仿宋" w:hAnsi="仿宋"/>
        </w:rPr>
        <w:t>条规定；</w:t>
      </w:r>
    </w:p>
    <w:p>
      <w:pPr>
        <w:spacing w:line="360" w:lineRule="auto"/>
        <w:ind w:firstLine="480" w:firstLineChars="200"/>
        <w:rPr>
          <w:rFonts w:ascii="仿宋" w:hAnsi="仿宋"/>
        </w:rPr>
      </w:pPr>
      <w:r>
        <w:rPr>
          <w:rFonts w:hint="eastAsia" w:ascii="仿宋" w:hAnsi="仿宋"/>
        </w:rPr>
        <w:t>（五）未按照规定建立防范利益冲突的管理制度、机制；</w:t>
      </w:r>
    </w:p>
    <w:p>
      <w:pPr>
        <w:spacing w:line="360" w:lineRule="auto"/>
        <w:ind w:firstLine="480" w:firstLineChars="200"/>
        <w:rPr>
          <w:rFonts w:ascii="仿宋" w:hAnsi="仿宋"/>
        </w:rPr>
      </w:pPr>
      <w:r>
        <w:rPr>
          <w:rFonts w:hint="eastAsia" w:ascii="仿宋" w:hAnsi="仿宋"/>
        </w:rPr>
        <w:t>（六）未有效执行防范利益冲突管理制度、机制且处置失当，导致发生重大利益冲突事件；</w:t>
      </w:r>
    </w:p>
    <w:p>
      <w:pPr>
        <w:spacing w:line="360" w:lineRule="auto"/>
        <w:ind w:firstLine="480" w:firstLineChars="200"/>
        <w:rPr>
          <w:rFonts w:ascii="仿宋" w:hAnsi="仿宋"/>
        </w:rPr>
      </w:pPr>
      <w:r>
        <w:rPr>
          <w:rFonts w:ascii="仿宋" w:hAnsi="仿宋"/>
        </w:rPr>
        <w:t>（</w:t>
      </w:r>
      <w:r>
        <w:rPr>
          <w:rFonts w:hint="eastAsia" w:ascii="仿宋" w:hAnsi="仿宋"/>
        </w:rPr>
        <w:t>七</w:t>
      </w:r>
      <w:r>
        <w:rPr>
          <w:rFonts w:ascii="仿宋" w:hAnsi="仿宋"/>
        </w:rPr>
        <w:t>）利用研究报告、资讯信息为自身及其他利益相关方谋取不当利益</w:t>
      </w:r>
      <w:r>
        <w:rPr>
          <w:rFonts w:hint="eastAsia" w:ascii="仿宋" w:hAnsi="仿宋"/>
        </w:rPr>
        <w:t>。</w:t>
      </w:r>
    </w:p>
    <w:p>
      <w:pPr>
        <w:spacing w:line="360" w:lineRule="auto"/>
        <w:ind w:firstLine="480" w:firstLineChars="200"/>
        <w:rPr>
          <w:rFonts w:ascii="仿宋" w:hAnsi="仿宋"/>
        </w:rPr>
      </w:pPr>
    </w:p>
    <w:p>
      <w:pPr>
        <w:pStyle w:val="3"/>
        <w:rPr>
          <w:sz w:val="24"/>
          <w:szCs w:val="24"/>
        </w:rPr>
      </w:pPr>
      <w:bookmarkStart w:id="499" w:name="_Toc410115230"/>
      <w:bookmarkStart w:id="500" w:name="_Toc399750573"/>
      <w:bookmarkStart w:id="501" w:name="_Toc400554043"/>
      <w:bookmarkStart w:id="502" w:name="_Toc3896846"/>
      <w:r>
        <w:rPr>
          <w:rFonts w:hint="eastAsia"/>
          <w:sz w:val="24"/>
          <w:szCs w:val="24"/>
        </w:rPr>
        <w:t>十四、关于从业人员管理</w:t>
      </w:r>
      <w:bookmarkEnd w:id="499"/>
      <w:bookmarkEnd w:id="500"/>
      <w:bookmarkEnd w:id="501"/>
      <w:bookmarkEnd w:id="502"/>
    </w:p>
    <w:p>
      <w:pPr>
        <w:spacing w:line="360" w:lineRule="auto"/>
        <w:ind w:firstLine="480" w:firstLineChars="200"/>
        <w:rPr>
          <w:rFonts w:ascii="仿宋" w:hAnsi="仿宋"/>
        </w:rPr>
      </w:pPr>
      <w:r>
        <w:rPr>
          <w:rFonts w:hint="eastAsia" w:ascii="仿宋" w:hAnsi="仿宋"/>
        </w:rPr>
        <w:t>掌握从业人员的范围、资格申请条件、职业总体合规要求、执业规范及禁止行为；掌握投资咨询从业人员的禁止行为；掌握IB机构期货从业人员的禁止行为；掌握从业人员执业的准则。</w:t>
      </w:r>
    </w:p>
    <w:p>
      <w:pPr>
        <w:pStyle w:val="4"/>
        <w:rPr>
          <w:szCs w:val="24"/>
        </w:rPr>
      </w:pPr>
      <w:bookmarkStart w:id="503" w:name="_Toc400554044"/>
      <w:bookmarkStart w:id="504" w:name="_Toc410115231"/>
      <w:bookmarkStart w:id="505" w:name="_Toc3896847"/>
      <w:r>
        <w:rPr>
          <w:rFonts w:hint="eastAsia" w:ascii="仿宋" w:hAnsi="仿宋"/>
          <w:kern w:val="0"/>
          <w:szCs w:val="24"/>
        </w:rPr>
        <w:t>（一）</w:t>
      </w:r>
      <w:r>
        <w:rPr>
          <w:rFonts w:hint="eastAsia"/>
          <w:szCs w:val="24"/>
        </w:rPr>
        <w:t>期货从业人员的范围</w:t>
      </w:r>
      <w:bookmarkEnd w:id="503"/>
      <w:bookmarkEnd w:id="504"/>
      <w:bookmarkEnd w:id="505"/>
    </w:p>
    <w:p>
      <w:pPr>
        <w:spacing w:line="360" w:lineRule="auto"/>
        <w:ind w:firstLine="480" w:firstLineChars="200"/>
        <w:rPr>
          <w:rFonts w:ascii="仿宋" w:hAnsi="仿宋"/>
        </w:rPr>
      </w:pPr>
      <w:r>
        <w:rPr>
          <w:rFonts w:hint="eastAsia" w:ascii="仿宋" w:hAnsi="仿宋"/>
        </w:rPr>
        <w:t>依据：《期货从业人员管理办法》第四条</w:t>
      </w:r>
    </w:p>
    <w:p>
      <w:pPr>
        <w:spacing w:line="360" w:lineRule="auto"/>
        <w:ind w:firstLine="480" w:firstLineChars="200"/>
        <w:rPr>
          <w:rFonts w:ascii="仿宋" w:hAnsi="仿宋"/>
        </w:rPr>
      </w:pPr>
      <w:r>
        <w:rPr>
          <w:rFonts w:hint="eastAsia" w:ascii="仿宋" w:hAnsi="仿宋"/>
        </w:rPr>
        <w:t>（一）期货公司的管理人员和专业人员；</w:t>
      </w:r>
    </w:p>
    <w:p>
      <w:pPr>
        <w:spacing w:line="360" w:lineRule="auto"/>
        <w:ind w:firstLine="480" w:firstLineChars="200"/>
        <w:rPr>
          <w:rFonts w:ascii="仿宋" w:hAnsi="仿宋"/>
        </w:rPr>
      </w:pPr>
      <w:r>
        <w:rPr>
          <w:rFonts w:hint="eastAsia" w:ascii="仿宋" w:hAnsi="仿宋"/>
        </w:rPr>
        <w:t>（二）期货交易所的非期货公司结算会员中从事期货结算业务的管理人员和专业人员；</w:t>
      </w:r>
    </w:p>
    <w:p>
      <w:pPr>
        <w:spacing w:line="360" w:lineRule="auto"/>
        <w:ind w:firstLine="480" w:firstLineChars="200"/>
        <w:rPr>
          <w:rFonts w:ascii="仿宋" w:hAnsi="仿宋"/>
        </w:rPr>
      </w:pPr>
      <w:r>
        <w:rPr>
          <w:rFonts w:hint="eastAsia" w:ascii="仿宋" w:hAnsi="仿宋"/>
        </w:rPr>
        <w:t>（三）期货投资咨询机构中从事期货投资咨询业务的管理人员和专业人员；</w:t>
      </w:r>
    </w:p>
    <w:p>
      <w:pPr>
        <w:spacing w:line="360" w:lineRule="auto"/>
        <w:ind w:firstLine="480" w:firstLineChars="200"/>
        <w:rPr>
          <w:rFonts w:ascii="仿宋" w:hAnsi="仿宋"/>
        </w:rPr>
      </w:pPr>
      <w:r>
        <w:rPr>
          <w:rFonts w:hint="eastAsia" w:ascii="仿宋" w:hAnsi="仿宋"/>
        </w:rPr>
        <w:t>（四）为期货公司提供中间介绍业务的机构中从事期货经营业务的管理人员和专业人员；</w:t>
      </w:r>
    </w:p>
    <w:p>
      <w:pPr>
        <w:spacing w:line="360" w:lineRule="auto"/>
        <w:ind w:firstLine="480" w:firstLineChars="200"/>
        <w:rPr>
          <w:rFonts w:ascii="仿宋" w:hAnsi="仿宋"/>
        </w:rPr>
      </w:pPr>
      <w:r>
        <w:rPr>
          <w:rFonts w:hint="eastAsia" w:ascii="仿宋" w:hAnsi="仿宋"/>
        </w:rPr>
        <w:t>（五）中国证监会规定的其他人员。</w:t>
      </w:r>
    </w:p>
    <w:p>
      <w:pPr>
        <w:pStyle w:val="4"/>
        <w:rPr>
          <w:szCs w:val="24"/>
        </w:rPr>
      </w:pPr>
      <w:bookmarkStart w:id="506" w:name="_Toc400554045"/>
      <w:bookmarkStart w:id="507" w:name="_Toc410115232"/>
      <w:bookmarkStart w:id="508" w:name="_Toc3896848"/>
      <w:r>
        <w:rPr>
          <w:rFonts w:hint="eastAsia" w:ascii="仿宋" w:hAnsi="仿宋"/>
          <w:kern w:val="0"/>
          <w:szCs w:val="24"/>
        </w:rPr>
        <w:t>（二）</w:t>
      </w:r>
      <w:r>
        <w:rPr>
          <w:rFonts w:hint="eastAsia"/>
          <w:szCs w:val="24"/>
        </w:rPr>
        <w:t>期货从业人员资格申请条件及机构不得任用无资格人员的规定</w:t>
      </w:r>
      <w:bookmarkEnd w:id="506"/>
      <w:bookmarkEnd w:id="507"/>
      <w:bookmarkEnd w:id="508"/>
    </w:p>
    <w:p>
      <w:pPr>
        <w:spacing w:line="360" w:lineRule="auto"/>
        <w:ind w:firstLine="480" w:firstLineChars="200"/>
        <w:rPr>
          <w:rFonts w:ascii="仿宋" w:hAnsi="仿宋"/>
        </w:rPr>
      </w:pPr>
      <w:r>
        <w:rPr>
          <w:rFonts w:hint="eastAsia" w:ascii="仿宋" w:hAnsi="仿宋"/>
        </w:rPr>
        <w:t>依据：《期货从业人员管理办法》第十条</w:t>
      </w:r>
    </w:p>
    <w:p>
      <w:pPr>
        <w:spacing w:line="360" w:lineRule="auto"/>
        <w:ind w:firstLine="480" w:firstLineChars="200"/>
        <w:rPr>
          <w:rFonts w:ascii="仿宋" w:hAnsi="仿宋"/>
        </w:rPr>
      </w:pPr>
      <w:r>
        <w:rPr>
          <w:rFonts w:hint="eastAsia" w:ascii="仿宋" w:hAnsi="仿宋"/>
        </w:rPr>
        <w:t>（一）品行端正，具有良好的职业道德；</w:t>
      </w:r>
    </w:p>
    <w:p>
      <w:pPr>
        <w:spacing w:line="360" w:lineRule="auto"/>
        <w:ind w:firstLine="480" w:firstLineChars="200"/>
        <w:rPr>
          <w:rFonts w:ascii="仿宋" w:hAnsi="仿宋"/>
        </w:rPr>
      </w:pPr>
      <w:r>
        <w:rPr>
          <w:rFonts w:hint="eastAsia" w:ascii="仿宋" w:hAnsi="仿宋"/>
        </w:rPr>
        <w:t>（二）已被本机构聘用；</w:t>
      </w:r>
    </w:p>
    <w:p>
      <w:pPr>
        <w:spacing w:line="360" w:lineRule="auto"/>
        <w:ind w:firstLine="480" w:firstLineChars="200"/>
        <w:rPr>
          <w:rFonts w:ascii="仿宋" w:hAnsi="仿宋"/>
        </w:rPr>
      </w:pPr>
      <w:r>
        <w:rPr>
          <w:rFonts w:hint="eastAsia" w:ascii="仿宋" w:hAnsi="仿宋"/>
        </w:rPr>
        <w:t>（三）最近3年内未受过刑事处罚或者中国证监会等金融监管机构的行政处罚；</w:t>
      </w:r>
    </w:p>
    <w:p>
      <w:pPr>
        <w:spacing w:line="360" w:lineRule="auto"/>
        <w:ind w:firstLine="480" w:firstLineChars="200"/>
        <w:rPr>
          <w:rFonts w:ascii="仿宋" w:hAnsi="仿宋"/>
        </w:rPr>
      </w:pPr>
      <w:r>
        <w:rPr>
          <w:rFonts w:hint="eastAsia" w:ascii="仿宋" w:hAnsi="仿宋"/>
        </w:rPr>
        <w:t>（四）未被中国证监会等金融监管机构采取市场禁入措施，或者禁入期已经届满；</w:t>
      </w:r>
    </w:p>
    <w:p>
      <w:pPr>
        <w:spacing w:line="360" w:lineRule="auto"/>
        <w:ind w:firstLine="480" w:firstLineChars="200"/>
        <w:rPr>
          <w:rFonts w:ascii="仿宋" w:hAnsi="仿宋"/>
        </w:rPr>
      </w:pPr>
      <w:r>
        <w:rPr>
          <w:rFonts w:hint="eastAsia" w:ascii="仿宋" w:hAnsi="仿宋"/>
        </w:rPr>
        <w:t>（五）最近3年内未因违法违规行为被撤销证券、期货从业资格；</w:t>
      </w:r>
    </w:p>
    <w:p>
      <w:pPr>
        <w:spacing w:line="360" w:lineRule="auto"/>
        <w:ind w:firstLine="480" w:firstLineChars="200"/>
        <w:rPr>
          <w:rFonts w:ascii="仿宋" w:hAnsi="仿宋"/>
        </w:rPr>
      </w:pPr>
      <w:r>
        <w:rPr>
          <w:rFonts w:hint="eastAsia" w:ascii="仿宋" w:hAnsi="仿宋"/>
        </w:rPr>
        <w:t>（六）中国证监会规定的其他条件。</w:t>
      </w:r>
    </w:p>
    <w:p>
      <w:pPr>
        <w:tabs>
          <w:tab w:val="left" w:pos="1134"/>
        </w:tabs>
        <w:spacing w:line="360" w:lineRule="auto"/>
        <w:ind w:firstLine="480" w:firstLineChars="200"/>
        <w:rPr>
          <w:rFonts w:ascii="仿宋" w:hAnsi="仿宋"/>
        </w:rPr>
      </w:pPr>
      <w:r>
        <w:rPr>
          <w:rFonts w:hint="eastAsia" w:ascii="仿宋" w:hAnsi="仿宋"/>
        </w:rPr>
        <w:t>机构不得任用无从业资格的人员从事期货业务，不得在办理从业资格申请过程中弄虚作假。</w:t>
      </w:r>
    </w:p>
    <w:p>
      <w:pPr>
        <w:pStyle w:val="4"/>
        <w:rPr>
          <w:szCs w:val="24"/>
        </w:rPr>
      </w:pPr>
      <w:bookmarkStart w:id="509" w:name="_Toc400554046"/>
      <w:bookmarkStart w:id="510" w:name="_Toc410115233"/>
      <w:bookmarkStart w:id="511" w:name="_Toc3896849"/>
      <w:r>
        <w:rPr>
          <w:rFonts w:hint="eastAsia" w:ascii="仿宋" w:hAnsi="仿宋"/>
          <w:kern w:val="0"/>
          <w:szCs w:val="24"/>
        </w:rPr>
        <w:t>（三）</w:t>
      </w:r>
      <w:r>
        <w:rPr>
          <w:rFonts w:hint="eastAsia"/>
          <w:szCs w:val="24"/>
        </w:rPr>
        <w:t>期货从业人员执业的总体性合规要求</w:t>
      </w:r>
      <w:bookmarkEnd w:id="509"/>
      <w:bookmarkEnd w:id="510"/>
      <w:bookmarkEnd w:id="511"/>
    </w:p>
    <w:p>
      <w:pPr>
        <w:tabs>
          <w:tab w:val="left" w:pos="1134"/>
        </w:tabs>
        <w:spacing w:line="360" w:lineRule="auto"/>
        <w:ind w:firstLine="480" w:firstLineChars="200"/>
        <w:rPr>
          <w:rFonts w:ascii="仿宋" w:hAnsi="仿宋"/>
        </w:rPr>
      </w:pPr>
      <w:r>
        <w:rPr>
          <w:rFonts w:hint="eastAsia" w:ascii="仿宋" w:hAnsi="仿宋"/>
        </w:rPr>
        <w:t>依据：《期货从业人员管理办法》第十三条</w:t>
      </w:r>
    </w:p>
    <w:p>
      <w:pPr>
        <w:tabs>
          <w:tab w:val="left" w:pos="1134"/>
        </w:tabs>
        <w:spacing w:line="360" w:lineRule="auto"/>
        <w:ind w:firstLine="480" w:firstLineChars="200"/>
        <w:rPr>
          <w:rFonts w:ascii="仿宋" w:hAnsi="仿宋"/>
        </w:rPr>
      </w:pPr>
      <w:r>
        <w:rPr>
          <w:rFonts w:hint="eastAsia" w:ascii="仿宋" w:hAnsi="仿宋"/>
        </w:rPr>
        <w:t>期货从业人员必须遵守有关法律、行政法规和中国证监会的规定，遵守协会和期货交易所的自律规则，不得从事或者协同他人从事欺诈、内幕交易、操纵期货交易价格、编造并传播有关期货交易的虚假信息等违法违规行为。</w:t>
      </w:r>
    </w:p>
    <w:p>
      <w:pPr>
        <w:pStyle w:val="4"/>
        <w:rPr>
          <w:szCs w:val="24"/>
        </w:rPr>
      </w:pPr>
      <w:bookmarkStart w:id="512" w:name="_Toc400554047"/>
      <w:bookmarkStart w:id="513" w:name="_Toc410115234"/>
      <w:bookmarkStart w:id="514" w:name="_Toc3896850"/>
      <w:r>
        <w:rPr>
          <w:rFonts w:hint="eastAsia" w:ascii="仿宋" w:hAnsi="仿宋"/>
          <w:kern w:val="0"/>
          <w:szCs w:val="24"/>
        </w:rPr>
        <w:t>（四）</w:t>
      </w:r>
      <w:r>
        <w:rPr>
          <w:rFonts w:hint="eastAsia"/>
          <w:szCs w:val="24"/>
        </w:rPr>
        <w:t>期货从业人员的执业规范</w:t>
      </w:r>
      <w:bookmarkEnd w:id="512"/>
      <w:bookmarkEnd w:id="513"/>
      <w:bookmarkEnd w:id="514"/>
    </w:p>
    <w:p>
      <w:pPr>
        <w:tabs>
          <w:tab w:val="left" w:pos="1134"/>
        </w:tabs>
        <w:spacing w:line="360" w:lineRule="auto"/>
        <w:ind w:firstLine="480" w:firstLineChars="200"/>
        <w:rPr>
          <w:rFonts w:ascii="仿宋" w:hAnsi="仿宋"/>
        </w:rPr>
      </w:pPr>
      <w:r>
        <w:rPr>
          <w:rFonts w:hint="eastAsia" w:ascii="仿宋" w:hAnsi="仿宋"/>
        </w:rPr>
        <w:t>依据：《期货从业人员管理办法》第十四条</w:t>
      </w:r>
    </w:p>
    <w:p>
      <w:pPr>
        <w:tabs>
          <w:tab w:val="left" w:pos="1134"/>
        </w:tabs>
        <w:spacing w:line="360" w:lineRule="auto"/>
        <w:ind w:firstLine="480" w:firstLineChars="200"/>
        <w:rPr>
          <w:rFonts w:ascii="仿宋" w:hAnsi="仿宋"/>
        </w:rPr>
      </w:pPr>
      <w:r>
        <w:rPr>
          <w:rFonts w:hint="eastAsia" w:ascii="仿宋" w:hAnsi="仿宋"/>
        </w:rPr>
        <w:t>期货从业人员应当遵守下列执业行为规范：</w:t>
      </w:r>
    </w:p>
    <w:p>
      <w:pPr>
        <w:tabs>
          <w:tab w:val="left" w:pos="1134"/>
        </w:tabs>
        <w:spacing w:line="360" w:lineRule="auto"/>
        <w:ind w:firstLine="480" w:firstLineChars="200"/>
        <w:rPr>
          <w:rFonts w:ascii="仿宋" w:hAnsi="仿宋"/>
        </w:rPr>
      </w:pPr>
      <w:r>
        <w:rPr>
          <w:rFonts w:hint="eastAsia" w:ascii="仿宋" w:hAnsi="仿宋"/>
        </w:rPr>
        <w:t>（一）诚实守信，恪尽职守，促进机构规范运作，维护期货行业声誉；</w:t>
      </w:r>
    </w:p>
    <w:p>
      <w:pPr>
        <w:tabs>
          <w:tab w:val="left" w:pos="1134"/>
        </w:tabs>
        <w:spacing w:line="360" w:lineRule="auto"/>
        <w:ind w:firstLine="480" w:firstLineChars="200"/>
        <w:rPr>
          <w:rFonts w:ascii="仿宋" w:hAnsi="仿宋"/>
        </w:rPr>
      </w:pPr>
      <w:r>
        <w:rPr>
          <w:rFonts w:hint="eastAsia" w:ascii="仿宋" w:hAnsi="仿宋"/>
        </w:rPr>
        <w:t>（二）以专业的技能，谨慎、勤勉尽责地为客户提供服务，保守客户的商业秘密，维护客户的合法权益；</w:t>
      </w:r>
    </w:p>
    <w:p>
      <w:pPr>
        <w:tabs>
          <w:tab w:val="left" w:pos="1134"/>
        </w:tabs>
        <w:spacing w:line="360" w:lineRule="auto"/>
        <w:ind w:firstLine="480" w:firstLineChars="200"/>
        <w:rPr>
          <w:rFonts w:ascii="仿宋" w:hAnsi="仿宋"/>
        </w:rPr>
      </w:pPr>
      <w:r>
        <w:rPr>
          <w:rFonts w:hint="eastAsia" w:ascii="仿宋" w:hAnsi="仿宋"/>
        </w:rPr>
        <w:t>（三）向客户提供专业服务时，充分揭示期货交易风险，不得作出不当承诺或者保证；</w:t>
      </w:r>
    </w:p>
    <w:p>
      <w:pPr>
        <w:tabs>
          <w:tab w:val="left" w:pos="1134"/>
        </w:tabs>
        <w:spacing w:line="360" w:lineRule="auto"/>
        <w:ind w:firstLine="480" w:firstLineChars="200"/>
        <w:rPr>
          <w:rFonts w:ascii="仿宋" w:hAnsi="仿宋"/>
        </w:rPr>
      </w:pPr>
      <w:r>
        <w:rPr>
          <w:rFonts w:hint="eastAsia" w:ascii="仿宋" w:hAnsi="仿宋"/>
        </w:rPr>
        <w:t>（四）当自身利益或者相关方利益与客户的利益发生冲突或者存在潜在利益冲突时，及时向客户进行披露，并且坚持客户合法利益优先的原则；</w:t>
      </w:r>
    </w:p>
    <w:p>
      <w:pPr>
        <w:tabs>
          <w:tab w:val="left" w:pos="1134"/>
        </w:tabs>
        <w:spacing w:line="360" w:lineRule="auto"/>
        <w:ind w:firstLine="480" w:firstLineChars="200"/>
        <w:rPr>
          <w:rFonts w:ascii="仿宋" w:hAnsi="仿宋"/>
        </w:rPr>
      </w:pPr>
      <w:r>
        <w:rPr>
          <w:rFonts w:hint="eastAsia" w:ascii="仿宋" w:hAnsi="仿宋"/>
        </w:rPr>
        <w:t>（五）具有良好的职业道德与守法意识，抵制商业贿赂，不得从事不正当竞争行为和不正当交易行为；</w:t>
      </w:r>
    </w:p>
    <w:p>
      <w:pPr>
        <w:tabs>
          <w:tab w:val="left" w:pos="1134"/>
        </w:tabs>
        <w:spacing w:line="360" w:lineRule="auto"/>
        <w:ind w:firstLine="480" w:firstLineChars="200"/>
        <w:rPr>
          <w:rFonts w:ascii="仿宋" w:hAnsi="仿宋"/>
        </w:rPr>
      </w:pPr>
      <w:r>
        <w:rPr>
          <w:rFonts w:hint="eastAsia" w:ascii="仿宋" w:hAnsi="仿宋"/>
        </w:rPr>
        <w:t>（六）不得为迎合客户的不合理要求而损害社会公共利益、所在机构或者他人的合法权益；</w:t>
      </w:r>
    </w:p>
    <w:p>
      <w:pPr>
        <w:tabs>
          <w:tab w:val="left" w:pos="1134"/>
        </w:tabs>
        <w:spacing w:line="360" w:lineRule="auto"/>
        <w:ind w:firstLine="480" w:firstLineChars="200"/>
        <w:rPr>
          <w:rFonts w:ascii="仿宋" w:hAnsi="仿宋"/>
        </w:rPr>
      </w:pPr>
      <w:r>
        <w:rPr>
          <w:rFonts w:hint="eastAsia" w:ascii="仿宋" w:hAnsi="仿宋"/>
        </w:rPr>
        <w:t>（七）不得以本人或者他人名义从事期货交易；</w:t>
      </w:r>
    </w:p>
    <w:p>
      <w:pPr>
        <w:tabs>
          <w:tab w:val="left" w:pos="1134"/>
        </w:tabs>
        <w:spacing w:line="360" w:lineRule="auto"/>
        <w:ind w:firstLine="480" w:firstLineChars="200"/>
        <w:rPr>
          <w:rFonts w:ascii="仿宋" w:hAnsi="仿宋"/>
        </w:rPr>
      </w:pPr>
      <w:r>
        <w:rPr>
          <w:rFonts w:hint="eastAsia" w:ascii="仿宋" w:hAnsi="仿宋"/>
        </w:rPr>
        <w:t>（八）协会规定的其他执业行为规范。</w:t>
      </w:r>
    </w:p>
    <w:p>
      <w:pPr>
        <w:pStyle w:val="4"/>
        <w:rPr>
          <w:szCs w:val="24"/>
        </w:rPr>
      </w:pPr>
      <w:bookmarkStart w:id="515" w:name="_Toc400554048"/>
      <w:bookmarkStart w:id="516" w:name="_Toc410115235"/>
      <w:bookmarkStart w:id="517" w:name="_Toc3896851"/>
      <w:r>
        <w:rPr>
          <w:rFonts w:hint="eastAsia" w:ascii="仿宋" w:hAnsi="仿宋"/>
          <w:kern w:val="0"/>
          <w:szCs w:val="24"/>
        </w:rPr>
        <w:t>（五）</w:t>
      </w:r>
      <w:r>
        <w:rPr>
          <w:rFonts w:hint="eastAsia"/>
          <w:szCs w:val="24"/>
        </w:rPr>
        <w:t>期货公司从业人员的禁止行为</w:t>
      </w:r>
      <w:bookmarkEnd w:id="515"/>
      <w:bookmarkEnd w:id="516"/>
      <w:bookmarkEnd w:id="517"/>
    </w:p>
    <w:p>
      <w:pPr>
        <w:tabs>
          <w:tab w:val="left" w:pos="1134"/>
        </w:tabs>
        <w:spacing w:line="360" w:lineRule="auto"/>
        <w:ind w:firstLine="480" w:firstLineChars="200"/>
        <w:rPr>
          <w:rFonts w:ascii="仿宋" w:hAnsi="仿宋"/>
        </w:rPr>
      </w:pPr>
      <w:r>
        <w:rPr>
          <w:rFonts w:hint="eastAsia" w:ascii="仿宋" w:hAnsi="仿宋"/>
        </w:rPr>
        <w:t>依据：《期货从业人员管理办法》第十五条</w:t>
      </w:r>
    </w:p>
    <w:p>
      <w:pPr>
        <w:tabs>
          <w:tab w:val="left" w:pos="1134"/>
        </w:tabs>
        <w:spacing w:line="360" w:lineRule="auto"/>
        <w:ind w:firstLine="480" w:firstLineChars="200"/>
        <w:rPr>
          <w:rFonts w:ascii="仿宋" w:hAnsi="仿宋"/>
        </w:rPr>
      </w:pPr>
      <w:r>
        <w:rPr>
          <w:rFonts w:hint="eastAsia" w:ascii="仿宋" w:hAnsi="仿宋"/>
        </w:rPr>
        <w:t>（一）进行虚假宣传，诱骗客户参与期货交易；</w:t>
      </w:r>
    </w:p>
    <w:p>
      <w:pPr>
        <w:tabs>
          <w:tab w:val="left" w:pos="1134"/>
        </w:tabs>
        <w:spacing w:line="360" w:lineRule="auto"/>
        <w:ind w:firstLine="480" w:firstLineChars="200"/>
        <w:rPr>
          <w:rFonts w:ascii="仿宋" w:hAnsi="仿宋"/>
        </w:rPr>
      </w:pPr>
      <w:r>
        <w:rPr>
          <w:rFonts w:hint="eastAsia" w:ascii="仿宋" w:hAnsi="仿宋"/>
        </w:rPr>
        <w:t>（二）挪用客户的期货保证金或者其他资产；</w:t>
      </w:r>
    </w:p>
    <w:p>
      <w:pPr>
        <w:tabs>
          <w:tab w:val="left" w:pos="1134"/>
        </w:tabs>
        <w:spacing w:line="360" w:lineRule="auto"/>
        <w:ind w:firstLine="480" w:firstLineChars="200"/>
        <w:rPr>
          <w:rFonts w:ascii="仿宋" w:hAnsi="仿宋"/>
        </w:rPr>
      </w:pPr>
      <w:r>
        <w:rPr>
          <w:rFonts w:hint="eastAsia" w:ascii="仿宋" w:hAnsi="仿宋"/>
        </w:rPr>
        <w:t>（三）中国证监会禁止的其他行为。</w:t>
      </w:r>
    </w:p>
    <w:p>
      <w:pPr>
        <w:pStyle w:val="4"/>
        <w:rPr>
          <w:szCs w:val="24"/>
        </w:rPr>
      </w:pPr>
      <w:bookmarkStart w:id="518" w:name="_Toc400554049"/>
      <w:bookmarkStart w:id="519" w:name="_Toc410115236"/>
      <w:bookmarkStart w:id="520" w:name="_Toc3896852"/>
      <w:r>
        <w:rPr>
          <w:rFonts w:hint="eastAsia" w:ascii="仿宋" w:hAnsi="仿宋"/>
          <w:kern w:val="0"/>
          <w:szCs w:val="24"/>
        </w:rPr>
        <w:t>（六）</w:t>
      </w:r>
      <w:r>
        <w:rPr>
          <w:rFonts w:hint="eastAsia"/>
          <w:szCs w:val="24"/>
        </w:rPr>
        <w:t>期货投资咨询机构的期货从业人员的禁止行为</w:t>
      </w:r>
      <w:bookmarkEnd w:id="518"/>
      <w:bookmarkEnd w:id="519"/>
      <w:bookmarkEnd w:id="520"/>
    </w:p>
    <w:p>
      <w:pPr>
        <w:tabs>
          <w:tab w:val="left" w:pos="1134"/>
        </w:tabs>
        <w:spacing w:line="360" w:lineRule="auto"/>
        <w:ind w:firstLine="480" w:firstLineChars="200"/>
        <w:rPr>
          <w:rFonts w:ascii="仿宋" w:hAnsi="仿宋"/>
        </w:rPr>
      </w:pPr>
      <w:r>
        <w:rPr>
          <w:rFonts w:hint="eastAsia" w:ascii="仿宋" w:hAnsi="仿宋"/>
        </w:rPr>
        <w:t>依据：《期货从业人员管理办法》第十七条</w:t>
      </w:r>
    </w:p>
    <w:p>
      <w:pPr>
        <w:tabs>
          <w:tab w:val="left" w:pos="1134"/>
        </w:tabs>
        <w:spacing w:line="360" w:lineRule="auto"/>
        <w:ind w:firstLine="480" w:firstLineChars="200"/>
        <w:rPr>
          <w:rFonts w:ascii="仿宋" w:hAnsi="仿宋"/>
        </w:rPr>
      </w:pPr>
      <w:r>
        <w:rPr>
          <w:rFonts w:hint="eastAsia" w:ascii="仿宋" w:hAnsi="仿宋"/>
        </w:rPr>
        <w:t>（一）利用传播媒介或者通过其他方式提供、传播虚假或者误导客户的信息；</w:t>
      </w:r>
    </w:p>
    <w:p>
      <w:pPr>
        <w:tabs>
          <w:tab w:val="left" w:pos="1134"/>
        </w:tabs>
        <w:spacing w:line="360" w:lineRule="auto"/>
        <w:ind w:firstLine="480" w:firstLineChars="200"/>
        <w:rPr>
          <w:rFonts w:ascii="仿宋" w:hAnsi="仿宋"/>
        </w:rPr>
      </w:pPr>
      <w:r>
        <w:rPr>
          <w:rFonts w:hint="eastAsia" w:ascii="仿宋" w:hAnsi="仿宋"/>
        </w:rPr>
        <w:t>（二）代理客户从事期货交易；</w:t>
      </w:r>
    </w:p>
    <w:p>
      <w:pPr>
        <w:tabs>
          <w:tab w:val="left" w:pos="1134"/>
        </w:tabs>
        <w:spacing w:line="360" w:lineRule="auto"/>
        <w:ind w:firstLine="480" w:firstLineChars="200"/>
        <w:rPr>
          <w:rFonts w:ascii="仿宋" w:hAnsi="仿宋"/>
        </w:rPr>
      </w:pPr>
      <w:r>
        <w:rPr>
          <w:rFonts w:hint="eastAsia" w:ascii="仿宋" w:hAnsi="仿宋"/>
        </w:rPr>
        <w:t>（三）中国证监会禁止的其他行为。</w:t>
      </w:r>
    </w:p>
    <w:p>
      <w:pPr>
        <w:pStyle w:val="4"/>
        <w:rPr>
          <w:szCs w:val="24"/>
        </w:rPr>
      </w:pPr>
      <w:bookmarkStart w:id="521" w:name="_Toc400554050"/>
      <w:bookmarkStart w:id="522" w:name="_Toc410115237"/>
      <w:bookmarkStart w:id="523" w:name="_Toc3896853"/>
      <w:r>
        <w:rPr>
          <w:rFonts w:hint="eastAsia" w:ascii="仿宋" w:hAnsi="仿宋"/>
          <w:kern w:val="0"/>
          <w:szCs w:val="24"/>
        </w:rPr>
        <w:t>（七）</w:t>
      </w:r>
      <w:r>
        <w:rPr>
          <w:rFonts w:hint="eastAsia"/>
          <w:szCs w:val="24"/>
        </w:rPr>
        <w:t>为期货公司提供中间介绍业务的机构的期货从业人员的禁止行为</w:t>
      </w:r>
      <w:bookmarkEnd w:id="521"/>
      <w:bookmarkEnd w:id="522"/>
      <w:bookmarkEnd w:id="523"/>
    </w:p>
    <w:p>
      <w:pPr>
        <w:tabs>
          <w:tab w:val="left" w:pos="1134"/>
        </w:tabs>
        <w:spacing w:line="360" w:lineRule="auto"/>
        <w:ind w:firstLine="480" w:firstLineChars="200"/>
        <w:rPr>
          <w:rFonts w:ascii="仿宋" w:hAnsi="仿宋"/>
        </w:rPr>
      </w:pPr>
      <w:r>
        <w:rPr>
          <w:rFonts w:hint="eastAsia" w:ascii="仿宋" w:hAnsi="仿宋"/>
        </w:rPr>
        <w:t>依据：《期货从业人员管理办法》第十八条</w:t>
      </w:r>
    </w:p>
    <w:p>
      <w:pPr>
        <w:tabs>
          <w:tab w:val="left" w:pos="1134"/>
        </w:tabs>
        <w:spacing w:line="360" w:lineRule="auto"/>
        <w:ind w:firstLine="480" w:firstLineChars="200"/>
        <w:rPr>
          <w:rFonts w:ascii="仿宋" w:hAnsi="仿宋"/>
        </w:rPr>
      </w:pPr>
      <w:r>
        <w:rPr>
          <w:rFonts w:hint="eastAsia" w:ascii="仿宋" w:hAnsi="仿宋"/>
        </w:rPr>
        <w:t>（一）收付、存取或者划转期货保证金；</w:t>
      </w:r>
    </w:p>
    <w:p>
      <w:pPr>
        <w:tabs>
          <w:tab w:val="left" w:pos="1134"/>
        </w:tabs>
        <w:spacing w:line="360" w:lineRule="auto"/>
        <w:ind w:firstLine="480" w:firstLineChars="200"/>
        <w:rPr>
          <w:rFonts w:ascii="仿宋" w:hAnsi="仿宋"/>
        </w:rPr>
      </w:pPr>
      <w:r>
        <w:rPr>
          <w:rFonts w:hint="eastAsia" w:ascii="仿宋" w:hAnsi="仿宋"/>
        </w:rPr>
        <w:t>（二）代理客户从事期货交易；</w:t>
      </w:r>
    </w:p>
    <w:p>
      <w:pPr>
        <w:tabs>
          <w:tab w:val="left" w:pos="1134"/>
        </w:tabs>
        <w:spacing w:line="360" w:lineRule="auto"/>
        <w:ind w:firstLine="480" w:firstLineChars="200"/>
        <w:rPr>
          <w:rFonts w:ascii="仿宋" w:hAnsi="仿宋"/>
        </w:rPr>
      </w:pPr>
      <w:r>
        <w:rPr>
          <w:rFonts w:hint="eastAsia" w:ascii="仿宋" w:hAnsi="仿宋"/>
        </w:rPr>
        <w:t>（三）中国证监会禁止的其他行为。</w:t>
      </w:r>
    </w:p>
    <w:p>
      <w:pPr>
        <w:tabs>
          <w:tab w:val="left" w:pos="1134"/>
        </w:tabs>
        <w:spacing w:line="360" w:lineRule="auto"/>
        <w:ind w:firstLine="480" w:firstLineChars="200"/>
        <w:rPr>
          <w:rFonts w:ascii="仿宋" w:hAnsi="仿宋"/>
        </w:rPr>
      </w:pPr>
    </w:p>
    <w:p>
      <w:pPr>
        <w:pStyle w:val="4"/>
        <w:rPr>
          <w:szCs w:val="24"/>
        </w:rPr>
      </w:pPr>
      <w:bookmarkStart w:id="524" w:name="_Toc400554051"/>
      <w:bookmarkStart w:id="525" w:name="_Toc410115238"/>
      <w:bookmarkStart w:id="526" w:name="_Toc3896854"/>
      <w:r>
        <w:rPr>
          <w:rFonts w:hint="eastAsia" w:ascii="仿宋" w:hAnsi="仿宋"/>
          <w:kern w:val="0"/>
          <w:szCs w:val="24"/>
        </w:rPr>
        <w:t>（八）</w:t>
      </w:r>
      <w:r>
        <w:rPr>
          <w:rFonts w:hint="eastAsia"/>
          <w:szCs w:val="24"/>
        </w:rPr>
        <w:t>期货从业人员执业行为准则的内容涉及的主要方面和重要性</w:t>
      </w:r>
      <w:bookmarkEnd w:id="524"/>
      <w:bookmarkEnd w:id="525"/>
      <w:bookmarkEnd w:id="526"/>
    </w:p>
    <w:p>
      <w:pPr>
        <w:tabs>
          <w:tab w:val="left" w:pos="1134"/>
        </w:tabs>
        <w:spacing w:line="360" w:lineRule="auto"/>
        <w:ind w:firstLine="480" w:firstLineChars="200"/>
        <w:rPr>
          <w:rFonts w:ascii="仿宋" w:hAnsi="仿宋"/>
        </w:rPr>
      </w:pPr>
      <w:r>
        <w:rPr>
          <w:rFonts w:hint="eastAsia" w:ascii="仿宋" w:hAnsi="仿宋"/>
        </w:rPr>
        <w:t>依据：《期货从业人员执业行为准则（修订）》第二条　</w:t>
      </w:r>
    </w:p>
    <w:p>
      <w:pPr>
        <w:tabs>
          <w:tab w:val="left" w:pos="1134"/>
        </w:tabs>
        <w:spacing w:line="360" w:lineRule="auto"/>
        <w:ind w:firstLine="480" w:firstLineChars="200"/>
        <w:rPr>
          <w:rFonts w:ascii="仿宋" w:hAnsi="仿宋"/>
        </w:rPr>
      </w:pPr>
      <w:r>
        <w:rPr>
          <w:rFonts w:hint="eastAsia" w:ascii="仿宋" w:hAnsi="仿宋"/>
        </w:rPr>
        <w:t>本准则是对从业人员的职业品德、执业纪律、专业胜任能力及职业责任等方面的基本要求和规定，是从业人员在执业过程中必须遵守的行为规范，是中国期货业协会（以下简称协会）对从业人员进行纪律惩戒的主要依据。</w:t>
      </w:r>
    </w:p>
    <w:p>
      <w:pPr>
        <w:pStyle w:val="4"/>
        <w:rPr>
          <w:szCs w:val="24"/>
        </w:rPr>
      </w:pPr>
      <w:bookmarkStart w:id="527" w:name="_Toc400554052"/>
      <w:bookmarkStart w:id="528" w:name="_Toc410115239"/>
      <w:bookmarkStart w:id="529" w:name="_Toc3896855"/>
      <w:r>
        <w:rPr>
          <w:rFonts w:hint="eastAsia" w:ascii="仿宋" w:hAnsi="仿宋"/>
          <w:kern w:val="0"/>
          <w:szCs w:val="24"/>
        </w:rPr>
        <w:t>（九）</w:t>
      </w:r>
      <w:r>
        <w:rPr>
          <w:rFonts w:hint="eastAsia"/>
          <w:szCs w:val="24"/>
        </w:rPr>
        <w:t>期货从业人员执业的基本准则，包括但不限于合法合规、诚信、专业、保密、防范利益冲突及公平对待投资者</w:t>
      </w:r>
      <w:bookmarkEnd w:id="527"/>
      <w:bookmarkEnd w:id="528"/>
      <w:bookmarkEnd w:id="529"/>
    </w:p>
    <w:p>
      <w:pPr>
        <w:tabs>
          <w:tab w:val="left" w:pos="1134"/>
        </w:tabs>
        <w:spacing w:line="360" w:lineRule="auto"/>
        <w:ind w:firstLine="480" w:firstLineChars="200"/>
        <w:rPr>
          <w:rFonts w:ascii="仿宋" w:hAnsi="仿宋"/>
        </w:rPr>
      </w:pPr>
      <w:r>
        <w:rPr>
          <w:rFonts w:hint="eastAsia" w:ascii="仿宋" w:hAnsi="仿宋"/>
        </w:rPr>
        <w:t>依据：《期货从业人员执业行为准则（修订）》第四、五、六、七、八、九条　</w:t>
      </w:r>
    </w:p>
    <w:p>
      <w:pPr>
        <w:pStyle w:val="4"/>
        <w:rPr>
          <w:szCs w:val="24"/>
        </w:rPr>
      </w:pPr>
      <w:bookmarkStart w:id="530" w:name="_Toc400554053"/>
      <w:bookmarkStart w:id="531" w:name="_Toc410115240"/>
      <w:bookmarkStart w:id="532" w:name="_Toc3896856"/>
      <w:r>
        <w:rPr>
          <w:rFonts w:hint="eastAsia" w:ascii="仿宋" w:hAnsi="仿宋"/>
          <w:kern w:val="0"/>
          <w:szCs w:val="24"/>
        </w:rPr>
        <w:t>（十）</w:t>
      </w:r>
      <w:r>
        <w:rPr>
          <w:rFonts w:hint="eastAsia"/>
          <w:szCs w:val="24"/>
        </w:rPr>
        <w:t>期货从业人员的竞业准则，包括但不限于提倡公平竞争，不正当竞争的具体情形，不正当招徕其他经营机构的从业人员等；</w:t>
      </w:r>
      <w:bookmarkEnd w:id="530"/>
      <w:bookmarkEnd w:id="531"/>
      <w:bookmarkEnd w:id="532"/>
    </w:p>
    <w:p>
      <w:pPr>
        <w:tabs>
          <w:tab w:val="left" w:pos="1134"/>
        </w:tabs>
        <w:spacing w:line="360" w:lineRule="auto"/>
        <w:ind w:firstLine="480" w:firstLineChars="200"/>
        <w:rPr>
          <w:rFonts w:ascii="仿宋" w:hAnsi="仿宋"/>
        </w:rPr>
      </w:pPr>
      <w:r>
        <w:rPr>
          <w:rFonts w:hint="eastAsia" w:ascii="仿宋" w:hAnsi="仿宋"/>
        </w:rPr>
        <w:t>依据：《期货从业人员执业行为准则（修订）》第二十六条、第二十八条　</w:t>
      </w:r>
    </w:p>
    <w:p>
      <w:pPr>
        <w:tabs>
          <w:tab w:val="left" w:pos="1134"/>
        </w:tabs>
        <w:spacing w:line="360" w:lineRule="auto"/>
        <w:ind w:firstLine="480" w:firstLineChars="200"/>
        <w:rPr>
          <w:rFonts w:ascii="仿宋" w:hAnsi="仿宋"/>
        </w:rPr>
      </w:pPr>
      <w:r>
        <w:rPr>
          <w:rFonts w:hint="eastAsia" w:ascii="仿宋" w:hAnsi="仿宋"/>
        </w:rPr>
        <w:t>提倡同业公平竞争，严禁从业人员从事下列不正当竞争行为：</w:t>
      </w:r>
    </w:p>
    <w:p>
      <w:pPr>
        <w:tabs>
          <w:tab w:val="left" w:pos="1134"/>
        </w:tabs>
        <w:spacing w:line="360" w:lineRule="auto"/>
        <w:ind w:firstLine="480" w:firstLineChars="200"/>
        <w:rPr>
          <w:rFonts w:ascii="仿宋" w:hAnsi="仿宋"/>
        </w:rPr>
      </w:pPr>
      <w:r>
        <w:rPr>
          <w:rFonts w:hint="eastAsia" w:ascii="仿宋" w:hAnsi="仿宋"/>
        </w:rPr>
        <w:t>（一）采用虚假或容易引起误解的宣传方式进行自我夸大或者损害其他同业者的名誉；</w:t>
      </w:r>
    </w:p>
    <w:p>
      <w:pPr>
        <w:tabs>
          <w:tab w:val="left" w:pos="1134"/>
        </w:tabs>
        <w:spacing w:line="360" w:lineRule="auto"/>
        <w:ind w:firstLine="480" w:firstLineChars="200"/>
        <w:rPr>
          <w:rFonts w:ascii="仿宋" w:hAnsi="仿宋"/>
        </w:rPr>
      </w:pPr>
      <w:r>
        <w:rPr>
          <w:rFonts w:hint="eastAsia" w:ascii="仿宋" w:hAnsi="仿宋"/>
        </w:rPr>
        <w:t>（二）贬低或诋毁其他机构、从业人员；</w:t>
      </w:r>
    </w:p>
    <w:p>
      <w:pPr>
        <w:tabs>
          <w:tab w:val="left" w:pos="1134"/>
        </w:tabs>
        <w:spacing w:line="360" w:lineRule="auto"/>
        <w:ind w:firstLine="480" w:firstLineChars="200"/>
        <w:rPr>
          <w:rFonts w:ascii="仿宋" w:hAnsi="仿宋"/>
        </w:rPr>
      </w:pPr>
      <w:r>
        <w:rPr>
          <w:rFonts w:hint="eastAsia" w:ascii="仿宋" w:hAnsi="仿宋"/>
        </w:rPr>
        <w:t>（三）采用明示或暗示与有关机构或者个人具有特殊关系的手段招徕投资者，或利用与有关组织的关系进行业务垄断；</w:t>
      </w:r>
    </w:p>
    <w:p>
      <w:pPr>
        <w:tabs>
          <w:tab w:val="left" w:pos="1134"/>
        </w:tabs>
        <w:spacing w:line="360" w:lineRule="auto"/>
        <w:ind w:firstLine="480" w:firstLineChars="200"/>
        <w:rPr>
          <w:rFonts w:ascii="仿宋" w:hAnsi="仿宋"/>
        </w:rPr>
      </w:pPr>
      <w:r>
        <w:rPr>
          <w:rFonts w:hint="eastAsia" w:ascii="仿宋" w:hAnsi="仿宋"/>
        </w:rPr>
        <w:t>（四）在投资者不知情的情况下给投资者代理人或介绍人返还佣金；</w:t>
      </w:r>
    </w:p>
    <w:p>
      <w:pPr>
        <w:tabs>
          <w:tab w:val="left" w:pos="1134"/>
        </w:tabs>
        <w:spacing w:line="360" w:lineRule="auto"/>
        <w:ind w:firstLine="480" w:firstLineChars="200"/>
        <w:rPr>
          <w:rFonts w:ascii="仿宋" w:hAnsi="仿宋"/>
        </w:rPr>
      </w:pPr>
      <w:r>
        <w:rPr>
          <w:rFonts w:hint="eastAsia" w:ascii="仿宋" w:hAnsi="仿宋"/>
        </w:rPr>
        <w:t>（五）以排挤竞争对手为目的，低于经营成本或行业自律标准收取手续费；</w:t>
      </w:r>
    </w:p>
    <w:p>
      <w:pPr>
        <w:tabs>
          <w:tab w:val="left" w:pos="1134"/>
        </w:tabs>
        <w:spacing w:line="360" w:lineRule="auto"/>
        <w:ind w:firstLine="480" w:firstLineChars="200"/>
        <w:rPr>
          <w:rFonts w:ascii="仿宋" w:hAnsi="仿宋"/>
        </w:rPr>
      </w:pPr>
      <w:r>
        <w:rPr>
          <w:rFonts w:hint="eastAsia" w:ascii="仿宋" w:hAnsi="仿宋"/>
        </w:rPr>
        <w:t>（六）中国证监会或协会认定的其他不正当竞争行为。</w:t>
      </w:r>
    </w:p>
    <w:p>
      <w:pPr>
        <w:tabs>
          <w:tab w:val="left" w:pos="1134"/>
        </w:tabs>
        <w:spacing w:line="360" w:lineRule="auto"/>
        <w:ind w:firstLine="480" w:firstLineChars="200"/>
        <w:rPr>
          <w:rFonts w:ascii="仿宋" w:hAnsi="仿宋"/>
        </w:rPr>
      </w:pPr>
      <w:r>
        <w:rPr>
          <w:rFonts w:hint="eastAsia" w:ascii="仿宋" w:hAnsi="仿宋"/>
        </w:rPr>
        <w:t>机构的管理人员不得以不正当手段招徕其他机构在职从业人员，不得以不正当手段辞退本机构从业人员。</w:t>
      </w:r>
    </w:p>
    <w:p>
      <w:pPr>
        <w:tabs>
          <w:tab w:val="left" w:pos="1134"/>
        </w:tabs>
        <w:spacing w:line="360" w:lineRule="auto"/>
        <w:ind w:firstLine="480" w:firstLineChars="200"/>
        <w:rPr>
          <w:rFonts w:ascii="仿宋" w:hAnsi="仿宋"/>
        </w:rPr>
      </w:pPr>
    </w:p>
    <w:p>
      <w:pPr>
        <w:pStyle w:val="3"/>
        <w:rPr>
          <w:sz w:val="24"/>
          <w:szCs w:val="24"/>
        </w:rPr>
      </w:pPr>
      <w:bookmarkStart w:id="533" w:name="_Toc399750574"/>
      <w:bookmarkStart w:id="534" w:name="_Toc400554054"/>
      <w:bookmarkStart w:id="535" w:name="_Toc410115241"/>
      <w:bookmarkStart w:id="536" w:name="_Toc3896857"/>
      <w:r>
        <w:rPr>
          <w:rFonts w:hint="eastAsia"/>
          <w:sz w:val="24"/>
          <w:szCs w:val="24"/>
        </w:rPr>
        <w:t>十五、关于信息隔离墙</w:t>
      </w:r>
      <w:bookmarkEnd w:id="533"/>
      <w:bookmarkEnd w:id="534"/>
      <w:bookmarkEnd w:id="535"/>
      <w:bookmarkEnd w:id="536"/>
    </w:p>
    <w:p>
      <w:pPr>
        <w:spacing w:line="360" w:lineRule="auto"/>
        <w:ind w:firstLine="480" w:firstLineChars="200"/>
        <w:rPr>
          <w:rFonts w:ascii="仿宋" w:hAnsi="仿宋"/>
        </w:rPr>
      </w:pPr>
      <w:r>
        <w:rPr>
          <w:rFonts w:hint="eastAsia" w:ascii="仿宋" w:hAnsi="仿宋"/>
        </w:rPr>
        <w:t>掌握信息隔离墙的概念、范围，掌握信息隔离墙制度的建立和执行方面的职责，掌握利益冲突的管理顺序，掌握信息隔离墙的一般规则的基本原则，掌握利益冲突部门的管理原则，掌握可能出现利益冲突的判断方法，掌握墙上人员的概念、跨墙审批的程序及跨墙人员行为的监督管理。</w:t>
      </w:r>
    </w:p>
    <w:p>
      <w:pPr>
        <w:pStyle w:val="4"/>
        <w:rPr>
          <w:szCs w:val="24"/>
        </w:rPr>
      </w:pPr>
      <w:bookmarkStart w:id="537" w:name="_Toc400554055"/>
      <w:bookmarkStart w:id="538" w:name="_Toc410115242"/>
      <w:bookmarkStart w:id="539" w:name="_Toc3896858"/>
      <w:r>
        <w:rPr>
          <w:rFonts w:hint="eastAsia"/>
          <w:szCs w:val="24"/>
        </w:rPr>
        <w:t>（一）信息隔离墙制度的概念和应当覆盖的范围，知道敏感信息的概念；</w:t>
      </w:r>
      <w:bookmarkEnd w:id="537"/>
      <w:bookmarkEnd w:id="538"/>
      <w:bookmarkEnd w:id="539"/>
    </w:p>
    <w:p>
      <w:pPr>
        <w:tabs>
          <w:tab w:val="left" w:pos="1134"/>
        </w:tabs>
        <w:spacing w:line="360" w:lineRule="auto"/>
        <w:ind w:firstLine="480" w:firstLineChars="200"/>
        <w:rPr>
          <w:rFonts w:ascii="仿宋" w:hAnsi="仿宋"/>
        </w:rPr>
      </w:pPr>
      <w:r>
        <w:rPr>
          <w:rFonts w:hint="eastAsia" w:ascii="仿宋" w:hAnsi="仿宋"/>
        </w:rPr>
        <w:t>依据：《证券公司信息隔离墙制度指引》第二条</w:t>
      </w:r>
    </w:p>
    <w:p>
      <w:pPr>
        <w:tabs>
          <w:tab w:val="left" w:pos="1134"/>
        </w:tabs>
        <w:spacing w:line="360" w:lineRule="auto"/>
        <w:ind w:firstLine="480" w:firstLineChars="200"/>
        <w:rPr>
          <w:rFonts w:ascii="仿宋" w:hAnsi="仿宋"/>
        </w:rPr>
      </w:pPr>
      <w:r>
        <w:rPr>
          <w:rFonts w:hint="eastAsia" w:ascii="仿宋" w:hAnsi="仿宋"/>
        </w:rPr>
        <w:t>本指引所称信息隔离墙制度，是指证券公司为控制敏感信息在相互存在利益冲突的业务之间不当流动和使用而采取的一系列措施。</w:t>
      </w:r>
    </w:p>
    <w:p>
      <w:pPr>
        <w:tabs>
          <w:tab w:val="left" w:pos="1134"/>
        </w:tabs>
        <w:spacing w:line="360" w:lineRule="auto"/>
        <w:ind w:firstLine="480" w:firstLineChars="200"/>
        <w:rPr>
          <w:rFonts w:ascii="仿宋" w:hAnsi="仿宋"/>
        </w:rPr>
      </w:pPr>
      <w:r>
        <w:rPr>
          <w:rFonts w:hint="eastAsia" w:ascii="仿宋" w:hAnsi="仿宋"/>
        </w:rPr>
        <w:t>证券公司应当建立信息隔离墙制度。信息隔离墙制度应当覆盖相互存在利益冲突的各项业务。</w:t>
      </w:r>
    </w:p>
    <w:p>
      <w:pPr>
        <w:tabs>
          <w:tab w:val="left" w:pos="1134"/>
        </w:tabs>
        <w:spacing w:line="360" w:lineRule="auto"/>
        <w:ind w:firstLine="480" w:firstLineChars="200"/>
        <w:rPr>
          <w:rFonts w:ascii="仿宋" w:hAnsi="仿宋"/>
        </w:rPr>
      </w:pPr>
      <w:r>
        <w:rPr>
          <w:rFonts w:hint="eastAsia" w:ascii="仿宋" w:hAnsi="仿宋"/>
        </w:rPr>
        <w:t>本指引所称敏感信息，是指证券公司在业务经营过程中掌握或知悉的内幕信息或者可能对投资决策产生重大影响的尚未公开的其他信息。</w:t>
      </w:r>
    </w:p>
    <w:p>
      <w:pPr>
        <w:pStyle w:val="4"/>
        <w:rPr>
          <w:szCs w:val="24"/>
        </w:rPr>
      </w:pPr>
      <w:bookmarkStart w:id="540" w:name="_Toc400554056"/>
      <w:bookmarkStart w:id="541" w:name="_Toc410115243"/>
      <w:bookmarkStart w:id="542" w:name="_Toc3896859"/>
      <w:r>
        <w:rPr>
          <w:rFonts w:hint="eastAsia"/>
          <w:szCs w:val="24"/>
        </w:rPr>
        <w:t>（二）公司董事会、管理层对于信息隔离墙制度的责任；</w:t>
      </w:r>
      <w:bookmarkEnd w:id="540"/>
      <w:bookmarkEnd w:id="541"/>
      <w:bookmarkEnd w:id="542"/>
    </w:p>
    <w:p>
      <w:pPr>
        <w:tabs>
          <w:tab w:val="left" w:pos="1134"/>
        </w:tabs>
        <w:spacing w:line="360" w:lineRule="auto"/>
        <w:ind w:firstLine="480" w:firstLineChars="200"/>
        <w:rPr>
          <w:rFonts w:ascii="仿宋" w:hAnsi="仿宋"/>
        </w:rPr>
      </w:pPr>
      <w:r>
        <w:rPr>
          <w:rFonts w:hint="eastAsia" w:ascii="仿宋" w:hAnsi="仿宋"/>
        </w:rPr>
        <w:t>依据：《证券公司信息隔离墙制度指引》第四条</w:t>
      </w:r>
    </w:p>
    <w:p>
      <w:pPr>
        <w:tabs>
          <w:tab w:val="left" w:pos="1134"/>
        </w:tabs>
        <w:spacing w:line="360" w:lineRule="auto"/>
        <w:ind w:firstLine="480" w:firstLineChars="200"/>
        <w:rPr>
          <w:rFonts w:ascii="仿宋" w:hAnsi="仿宋"/>
        </w:rPr>
      </w:pPr>
      <w:r>
        <w:rPr>
          <w:rFonts w:hint="eastAsia" w:ascii="仿宋" w:hAnsi="仿宋"/>
        </w:rPr>
        <w:t>证券公司应当明确董事会、管理层、各部门和分支机构在信息隔离墙制度建立和执行方面的职责。</w:t>
      </w:r>
    </w:p>
    <w:p>
      <w:pPr>
        <w:tabs>
          <w:tab w:val="left" w:pos="1134"/>
        </w:tabs>
        <w:spacing w:line="360" w:lineRule="auto"/>
        <w:ind w:firstLine="480" w:firstLineChars="200"/>
        <w:rPr>
          <w:rFonts w:ascii="仿宋" w:hAnsi="仿宋"/>
        </w:rPr>
      </w:pPr>
      <w:r>
        <w:rPr>
          <w:rFonts w:hint="eastAsia" w:ascii="仿宋" w:hAnsi="仿宋"/>
        </w:rPr>
        <w:t>证券公司董事会和经营管理的主要负责人对公司信息隔离墙制度的有效性负最终责任，各业务部门和分支机构的负责人对本部门和本机构执行信息隔离墙制度的有效性承担责任。</w:t>
      </w:r>
    </w:p>
    <w:p>
      <w:pPr>
        <w:tabs>
          <w:tab w:val="left" w:pos="1134"/>
        </w:tabs>
        <w:spacing w:line="360" w:lineRule="auto"/>
        <w:ind w:firstLine="480" w:firstLineChars="200"/>
        <w:rPr>
          <w:rFonts w:ascii="仿宋" w:hAnsi="仿宋"/>
        </w:rPr>
      </w:pPr>
      <w:r>
        <w:rPr>
          <w:rFonts w:hint="eastAsia" w:ascii="仿宋" w:hAnsi="仿宋"/>
        </w:rPr>
        <w:t>证券公司合规总监和合规部门协助董事会和管理层建立和执行信息隔离墙制度，并负有审查、监督、检查、咨询和培训等职责。</w:t>
      </w:r>
    </w:p>
    <w:p>
      <w:pPr>
        <w:pStyle w:val="4"/>
        <w:rPr>
          <w:szCs w:val="24"/>
        </w:rPr>
      </w:pPr>
      <w:bookmarkStart w:id="543" w:name="_Toc400554057"/>
      <w:bookmarkStart w:id="544" w:name="_Toc410115244"/>
      <w:bookmarkStart w:id="545" w:name="_Toc3896860"/>
      <w:r>
        <w:rPr>
          <w:rFonts w:hint="eastAsia"/>
          <w:szCs w:val="24"/>
        </w:rPr>
        <w:t>（三）利益冲突的管理顺序；</w:t>
      </w:r>
      <w:bookmarkEnd w:id="543"/>
      <w:bookmarkEnd w:id="544"/>
      <w:bookmarkEnd w:id="545"/>
    </w:p>
    <w:p>
      <w:pPr>
        <w:tabs>
          <w:tab w:val="left" w:pos="1134"/>
        </w:tabs>
        <w:spacing w:line="360" w:lineRule="auto"/>
        <w:ind w:firstLine="480" w:firstLineChars="200"/>
        <w:rPr>
          <w:rFonts w:ascii="仿宋" w:hAnsi="仿宋"/>
        </w:rPr>
      </w:pPr>
      <w:r>
        <w:rPr>
          <w:rFonts w:hint="eastAsia" w:ascii="仿宋" w:hAnsi="仿宋"/>
        </w:rPr>
        <w:t>依据：《证券公司信息隔离墙制度指引》第五条</w:t>
      </w:r>
    </w:p>
    <w:p>
      <w:pPr>
        <w:tabs>
          <w:tab w:val="left" w:pos="1134"/>
        </w:tabs>
        <w:spacing w:line="360" w:lineRule="auto"/>
        <w:ind w:firstLine="480" w:firstLineChars="200"/>
        <w:rPr>
          <w:rFonts w:ascii="仿宋" w:hAnsi="仿宋"/>
        </w:rPr>
      </w:pPr>
      <w:r>
        <w:rPr>
          <w:rFonts w:hint="eastAsia" w:ascii="仿宋" w:hAnsi="仿宋"/>
        </w:rPr>
        <w:t>证券公司采取信息隔离措施难以避免利益冲突的，应当对利益冲突进行披露；披露难以有效处理利益冲突的，应当采取对相关业务进行限制等措施。</w:t>
      </w:r>
    </w:p>
    <w:p>
      <w:pPr>
        <w:tabs>
          <w:tab w:val="left" w:pos="1134"/>
        </w:tabs>
        <w:spacing w:line="360" w:lineRule="auto"/>
        <w:ind w:firstLine="480" w:firstLineChars="200"/>
        <w:rPr>
          <w:rFonts w:ascii="仿宋" w:hAnsi="仿宋"/>
        </w:rPr>
      </w:pPr>
      <w:r>
        <w:rPr>
          <w:rFonts w:hint="eastAsia" w:ascii="仿宋" w:hAnsi="仿宋"/>
        </w:rPr>
        <w:t>证券公司对相关业务进行限制时，应当遵循客户利益优先和公平对待客户的原则。</w:t>
      </w:r>
    </w:p>
    <w:p>
      <w:pPr>
        <w:pStyle w:val="4"/>
        <w:rPr>
          <w:szCs w:val="24"/>
        </w:rPr>
      </w:pPr>
      <w:bookmarkStart w:id="546" w:name="_Toc400554058"/>
      <w:bookmarkStart w:id="547" w:name="_Toc410115245"/>
      <w:bookmarkStart w:id="548" w:name="_Toc3896861"/>
      <w:r>
        <w:rPr>
          <w:rFonts w:hint="eastAsia"/>
          <w:szCs w:val="24"/>
        </w:rPr>
        <w:t>（四）信息隔离墙的一般规定中于敏感信息管理原则、审批原则、防止不当利用原则；</w:t>
      </w:r>
      <w:bookmarkEnd w:id="546"/>
      <w:bookmarkEnd w:id="547"/>
      <w:bookmarkEnd w:id="548"/>
    </w:p>
    <w:p>
      <w:pPr>
        <w:tabs>
          <w:tab w:val="left" w:pos="1134"/>
        </w:tabs>
        <w:spacing w:line="360" w:lineRule="auto"/>
        <w:ind w:firstLine="480" w:firstLineChars="200"/>
        <w:rPr>
          <w:rFonts w:ascii="仿宋" w:hAnsi="仿宋"/>
        </w:rPr>
      </w:pPr>
      <w:r>
        <w:rPr>
          <w:rFonts w:hint="eastAsia" w:ascii="仿宋" w:hAnsi="仿宋"/>
        </w:rPr>
        <w:t>依据：《证券公司信息隔离墙制度指引》第八、九、十条</w:t>
      </w:r>
    </w:p>
    <w:p>
      <w:pPr>
        <w:tabs>
          <w:tab w:val="left" w:pos="1134"/>
        </w:tabs>
        <w:spacing w:line="360" w:lineRule="auto"/>
        <w:ind w:firstLine="480" w:firstLineChars="200"/>
        <w:rPr>
          <w:rFonts w:ascii="仿宋" w:hAnsi="仿宋"/>
        </w:rPr>
      </w:pPr>
      <w:r>
        <w:rPr>
          <w:rFonts w:hint="eastAsia" w:ascii="仿宋" w:hAnsi="仿宋"/>
        </w:rPr>
        <w:t>证券公司应当按照需知原则管理敏感信息，确保敏感信息仅限于存在合理业务需求或管理职责需要的工作人员知悉。</w:t>
      </w:r>
    </w:p>
    <w:p>
      <w:pPr>
        <w:tabs>
          <w:tab w:val="left" w:pos="1134"/>
        </w:tabs>
        <w:spacing w:line="360" w:lineRule="auto"/>
        <w:ind w:firstLine="480" w:firstLineChars="200"/>
        <w:rPr>
          <w:rFonts w:ascii="仿宋" w:hAnsi="仿宋"/>
        </w:rPr>
      </w:pPr>
      <w:r>
        <w:rPr>
          <w:rFonts w:hint="eastAsia" w:ascii="仿宋" w:hAnsi="仿宋"/>
        </w:rPr>
        <w:t>证券公司工作人员未经授权或批准不应获取敏感信息，对已经获取的敏感信息负有保密义务，不应利用敏感信息为自己或他人谋取不当利益。</w:t>
      </w:r>
    </w:p>
    <w:p>
      <w:pPr>
        <w:tabs>
          <w:tab w:val="left" w:pos="1134"/>
        </w:tabs>
        <w:spacing w:line="360" w:lineRule="auto"/>
        <w:ind w:firstLine="480" w:firstLineChars="200"/>
        <w:rPr>
          <w:rFonts w:ascii="仿宋" w:hAnsi="仿宋"/>
        </w:rPr>
      </w:pPr>
      <w:r>
        <w:rPr>
          <w:rFonts w:hint="eastAsia" w:ascii="仿宋" w:hAnsi="仿宋"/>
        </w:rPr>
        <w:t>证券公司应当采取保密措施，防止敏感信息的不当流动和使用，包括但不限于：</w:t>
      </w:r>
    </w:p>
    <w:p>
      <w:pPr>
        <w:tabs>
          <w:tab w:val="left" w:pos="1134"/>
        </w:tabs>
        <w:spacing w:line="360" w:lineRule="auto"/>
        <w:ind w:firstLine="480" w:firstLineChars="200"/>
        <w:rPr>
          <w:rFonts w:ascii="仿宋" w:hAnsi="仿宋"/>
        </w:rPr>
      </w:pPr>
      <w:r>
        <w:rPr>
          <w:rFonts w:hint="eastAsia" w:ascii="仿宋" w:hAnsi="仿宋"/>
        </w:rPr>
        <w:t>（一）与公司工作人员签署保密文件，要求工作人员对工作中获取的敏感信息严格保密；</w:t>
      </w:r>
    </w:p>
    <w:p>
      <w:pPr>
        <w:tabs>
          <w:tab w:val="left" w:pos="1134"/>
        </w:tabs>
        <w:spacing w:line="360" w:lineRule="auto"/>
        <w:ind w:firstLine="480" w:firstLineChars="200"/>
        <w:rPr>
          <w:rFonts w:ascii="仿宋" w:hAnsi="仿宋"/>
        </w:rPr>
      </w:pPr>
      <w:r>
        <w:rPr>
          <w:rFonts w:hint="eastAsia" w:ascii="仿宋" w:hAnsi="仿宋"/>
        </w:rPr>
        <w:t>（二）加强对涉及敏感信息的信息系统、通讯及办公自动化等信息设施、设备的管理，保障敏感信息安全；</w:t>
      </w:r>
    </w:p>
    <w:p>
      <w:pPr>
        <w:tabs>
          <w:tab w:val="left" w:pos="1134"/>
        </w:tabs>
        <w:spacing w:line="360" w:lineRule="auto"/>
        <w:ind w:firstLine="480" w:firstLineChars="200"/>
        <w:rPr>
          <w:rFonts w:ascii="仿宋" w:hAnsi="仿宋"/>
        </w:rPr>
      </w:pPr>
      <w:r>
        <w:rPr>
          <w:rFonts w:hint="eastAsia" w:ascii="仿宋" w:hAnsi="仿宋"/>
        </w:rPr>
        <w:t>（三）对可能知悉敏感信息的工作人员使用公司的信息系统或配发的设备形成的电子邮件、即时通讯信息和其他通讯信息进行监测。</w:t>
      </w:r>
    </w:p>
    <w:p>
      <w:pPr>
        <w:pStyle w:val="4"/>
        <w:rPr>
          <w:szCs w:val="24"/>
        </w:rPr>
      </w:pPr>
      <w:bookmarkStart w:id="549" w:name="_Toc400554059"/>
      <w:bookmarkStart w:id="550" w:name="_Toc410115246"/>
      <w:bookmarkStart w:id="551" w:name="_Toc3896862"/>
      <w:r>
        <w:rPr>
          <w:rFonts w:hint="eastAsia"/>
          <w:szCs w:val="24"/>
        </w:rPr>
        <w:t>（五）信息隔离墙的一般规定中关于物理隔离的原则；</w:t>
      </w:r>
      <w:bookmarkEnd w:id="549"/>
      <w:bookmarkEnd w:id="550"/>
      <w:bookmarkEnd w:id="551"/>
    </w:p>
    <w:p>
      <w:pPr>
        <w:tabs>
          <w:tab w:val="left" w:pos="1134"/>
        </w:tabs>
        <w:spacing w:line="360" w:lineRule="auto"/>
        <w:ind w:firstLine="480" w:firstLineChars="200"/>
        <w:rPr>
          <w:rFonts w:ascii="仿宋" w:hAnsi="仿宋"/>
        </w:rPr>
      </w:pPr>
      <w:r>
        <w:rPr>
          <w:rFonts w:hint="eastAsia" w:ascii="仿宋" w:hAnsi="仿宋"/>
        </w:rPr>
        <w:t>依据：《证券公司信息隔离墙制度指引》第十一、十三条</w:t>
      </w:r>
    </w:p>
    <w:p>
      <w:pPr>
        <w:tabs>
          <w:tab w:val="left" w:pos="1134"/>
        </w:tabs>
        <w:spacing w:line="360" w:lineRule="auto"/>
        <w:ind w:firstLine="480" w:firstLineChars="200"/>
        <w:rPr>
          <w:rFonts w:ascii="仿宋" w:hAnsi="仿宋"/>
        </w:rPr>
      </w:pPr>
      <w:r>
        <w:rPr>
          <w:rFonts w:hint="eastAsia" w:ascii="仿宋" w:hAnsi="仿宋"/>
        </w:rPr>
        <w:t>证券公司应当确保存在利益冲突的业务部门的办公场所和办公设备相对封闭和相互独立。</w:t>
      </w:r>
    </w:p>
    <w:p>
      <w:pPr>
        <w:tabs>
          <w:tab w:val="left" w:pos="1134"/>
        </w:tabs>
        <w:spacing w:line="360" w:lineRule="auto"/>
        <w:ind w:firstLine="480" w:firstLineChars="200"/>
        <w:rPr>
          <w:rFonts w:ascii="仿宋" w:hAnsi="仿宋"/>
        </w:rPr>
      </w:pPr>
      <w:r>
        <w:rPr>
          <w:rFonts w:hint="eastAsia" w:ascii="仿宋" w:hAnsi="仿宋"/>
        </w:rPr>
        <w:t>证券公司应当对掌握敏感信息的业务部门的办公场所人员进出情况进行监控，并要求工作人员避免进入与其职责存在利益冲突的业务部门的办公场所。</w:t>
      </w:r>
    </w:p>
    <w:p>
      <w:pPr>
        <w:tabs>
          <w:tab w:val="left" w:pos="1134"/>
        </w:tabs>
        <w:spacing w:line="360" w:lineRule="auto"/>
        <w:ind w:firstLine="480" w:firstLineChars="200"/>
        <w:rPr>
          <w:rFonts w:ascii="仿宋" w:hAnsi="仿宋"/>
        </w:rPr>
      </w:pPr>
      <w:r>
        <w:rPr>
          <w:rFonts w:hint="eastAsia" w:ascii="仿宋" w:hAnsi="仿宋"/>
        </w:rPr>
        <w:t>证券公司应当确保存在利益冲突的业务的信息系统相互独立或实现逻辑隔离。</w:t>
      </w:r>
    </w:p>
    <w:p>
      <w:pPr>
        <w:pStyle w:val="4"/>
        <w:rPr>
          <w:szCs w:val="24"/>
        </w:rPr>
      </w:pPr>
      <w:bookmarkStart w:id="552" w:name="_Toc400554060"/>
      <w:bookmarkStart w:id="553" w:name="_Toc410115247"/>
      <w:bookmarkStart w:id="554" w:name="_Toc3896863"/>
      <w:r>
        <w:rPr>
          <w:rFonts w:hint="eastAsia"/>
          <w:szCs w:val="24"/>
        </w:rPr>
        <w:t>（六）信息隔离墙的一般规定中关职责冲突的管理的原则；</w:t>
      </w:r>
      <w:bookmarkEnd w:id="552"/>
      <w:bookmarkEnd w:id="553"/>
      <w:bookmarkEnd w:id="554"/>
    </w:p>
    <w:p>
      <w:pPr>
        <w:tabs>
          <w:tab w:val="left" w:pos="1134"/>
        </w:tabs>
        <w:spacing w:line="360" w:lineRule="auto"/>
        <w:ind w:firstLine="480" w:firstLineChars="200"/>
        <w:rPr>
          <w:rFonts w:ascii="仿宋" w:hAnsi="仿宋"/>
        </w:rPr>
      </w:pPr>
      <w:r>
        <w:rPr>
          <w:rFonts w:hint="eastAsia" w:ascii="仿宋" w:hAnsi="仿宋"/>
        </w:rPr>
        <w:t>依据：</w:t>
      </w:r>
      <w:r>
        <w:rPr>
          <w:rFonts w:ascii="仿宋" w:hAnsi="仿宋"/>
        </w:rPr>
        <w:t>《</w:t>
      </w:r>
      <w:r>
        <w:rPr>
          <w:rFonts w:hint="eastAsia" w:ascii="仿宋" w:hAnsi="仿宋"/>
        </w:rPr>
        <w:t>证券公司信息隔离墙制度指引》第十二、十八条</w:t>
      </w:r>
    </w:p>
    <w:p>
      <w:pPr>
        <w:tabs>
          <w:tab w:val="left" w:pos="1134"/>
        </w:tabs>
        <w:spacing w:line="360" w:lineRule="auto"/>
        <w:ind w:firstLine="480" w:firstLineChars="200"/>
        <w:rPr>
          <w:rFonts w:ascii="仿宋" w:hAnsi="仿宋"/>
        </w:rPr>
      </w:pPr>
      <w:r>
        <w:rPr>
          <w:rFonts w:hint="eastAsia" w:ascii="仿宋" w:hAnsi="仿宋"/>
        </w:rPr>
        <w:t>证券公司应当明确高级管理人员的职责权限，同一高级管理人员原则上不应同时分管两个或两个以上存在利益冲突的业务部门。同一高级管理人员同时分管两个或两个以上存在利益冲突的业务部门的，不应直接或间接参与具体证券品种的投资决策、投资咨询等可能导致利益冲突的业务活动。</w:t>
      </w:r>
    </w:p>
    <w:p>
      <w:pPr>
        <w:tabs>
          <w:tab w:val="left" w:pos="1134"/>
        </w:tabs>
        <w:spacing w:line="360" w:lineRule="auto"/>
        <w:ind w:firstLine="480" w:firstLineChars="200"/>
        <w:rPr>
          <w:rFonts w:ascii="仿宋" w:hAnsi="仿宋"/>
        </w:rPr>
      </w:pPr>
      <w:r>
        <w:rPr>
          <w:rFonts w:hint="eastAsia" w:ascii="仿宋" w:hAnsi="仿宋"/>
        </w:rPr>
        <w:t>证券公司工作人员不应同时履行可能导致利益冲突的职责，业务部门工作人员不应在与其业务存在利益冲突的子公司兼任职务。</w:t>
      </w:r>
    </w:p>
    <w:p>
      <w:pPr>
        <w:tabs>
          <w:tab w:val="left" w:pos="1134"/>
        </w:tabs>
        <w:spacing w:line="360" w:lineRule="auto"/>
        <w:ind w:firstLine="480" w:firstLineChars="200"/>
        <w:rPr>
          <w:rFonts w:ascii="仿宋" w:hAnsi="仿宋"/>
        </w:rPr>
      </w:pPr>
      <w:r>
        <w:rPr>
          <w:rFonts w:hint="eastAsia" w:ascii="仿宋" w:hAnsi="仿宋"/>
        </w:rPr>
        <w:t>证券公司有关业务的决策机构应当实行回避制度，防范可能产生的利益冲突。</w:t>
      </w:r>
    </w:p>
    <w:p>
      <w:pPr>
        <w:tabs>
          <w:tab w:val="left" w:pos="1134"/>
        </w:tabs>
        <w:spacing w:line="360" w:lineRule="auto"/>
        <w:ind w:firstLine="480" w:firstLineChars="200"/>
        <w:rPr>
          <w:rFonts w:ascii="仿宋" w:hAnsi="仿宋"/>
        </w:rPr>
      </w:pPr>
      <w:r>
        <w:rPr>
          <w:rFonts w:hint="eastAsia" w:ascii="仿宋" w:hAnsi="仿宋"/>
        </w:rPr>
        <w:t>高级管理人员分管职责范围发生变化，或者其他人员跨部门调动的，证券公司应当采取相应措施，防范可能产生的利益冲突。</w:t>
      </w:r>
    </w:p>
    <w:p>
      <w:pPr>
        <w:pStyle w:val="4"/>
        <w:rPr>
          <w:szCs w:val="24"/>
        </w:rPr>
      </w:pPr>
      <w:bookmarkStart w:id="555" w:name="_Toc400554061"/>
      <w:bookmarkStart w:id="556" w:name="_Toc410115248"/>
      <w:bookmarkStart w:id="557" w:name="_Toc3896864"/>
      <w:r>
        <w:rPr>
          <w:rFonts w:hint="eastAsia"/>
          <w:szCs w:val="24"/>
        </w:rPr>
        <w:t>（七）利益冲突部门的证券、资金、账户分开管理原则</w:t>
      </w:r>
      <w:bookmarkEnd w:id="555"/>
      <w:bookmarkEnd w:id="556"/>
      <w:r>
        <w:rPr>
          <w:rFonts w:hint="eastAsia"/>
          <w:szCs w:val="24"/>
        </w:rPr>
        <w:t>;</w:t>
      </w:r>
      <w:bookmarkEnd w:id="557"/>
    </w:p>
    <w:p>
      <w:pPr>
        <w:tabs>
          <w:tab w:val="left" w:pos="1134"/>
        </w:tabs>
        <w:spacing w:line="360" w:lineRule="auto"/>
        <w:ind w:firstLine="480" w:firstLineChars="200"/>
        <w:rPr>
          <w:rFonts w:ascii="仿宋" w:hAnsi="仿宋"/>
        </w:rPr>
      </w:pPr>
      <w:r>
        <w:rPr>
          <w:rFonts w:hint="eastAsia" w:ascii="仿宋" w:hAnsi="仿宋"/>
        </w:rPr>
        <w:t>依据：《证券公司信息隔离墙制度指引》第十四条</w:t>
      </w:r>
    </w:p>
    <w:p>
      <w:pPr>
        <w:tabs>
          <w:tab w:val="left" w:pos="1134"/>
        </w:tabs>
        <w:spacing w:line="360" w:lineRule="auto"/>
        <w:ind w:firstLine="480" w:firstLineChars="200"/>
        <w:rPr>
          <w:rFonts w:ascii="仿宋" w:hAnsi="仿宋"/>
        </w:rPr>
      </w:pPr>
      <w:r>
        <w:rPr>
          <w:rFonts w:hint="eastAsia" w:ascii="仿宋" w:hAnsi="仿宋"/>
        </w:rPr>
        <w:t>证券公司应当对证券自营、证券资产管理、融资融券等业务所涉资金、证券及账户实施分开管理，不应混合操作。</w:t>
      </w:r>
    </w:p>
    <w:p>
      <w:pPr>
        <w:pStyle w:val="4"/>
        <w:rPr>
          <w:szCs w:val="24"/>
        </w:rPr>
      </w:pPr>
      <w:bookmarkStart w:id="558" w:name="_Toc400554062"/>
      <w:bookmarkStart w:id="559" w:name="_Toc410115249"/>
      <w:bookmarkStart w:id="560" w:name="_Toc3896865"/>
      <w:r>
        <w:rPr>
          <w:rFonts w:hint="eastAsia"/>
          <w:szCs w:val="24"/>
        </w:rPr>
        <w:t>（八）可能出现利益冲突的业务、部门的判断方法及墙上人员的概念；</w:t>
      </w:r>
      <w:bookmarkEnd w:id="558"/>
      <w:bookmarkEnd w:id="559"/>
      <w:bookmarkEnd w:id="560"/>
    </w:p>
    <w:p>
      <w:pPr>
        <w:tabs>
          <w:tab w:val="left" w:pos="1134"/>
        </w:tabs>
        <w:spacing w:line="360" w:lineRule="auto"/>
        <w:ind w:firstLine="480" w:firstLineChars="200"/>
        <w:rPr>
          <w:rFonts w:ascii="仿宋" w:hAnsi="仿宋"/>
        </w:rPr>
      </w:pPr>
      <w:r>
        <w:rPr>
          <w:rFonts w:hint="eastAsia" w:ascii="仿宋" w:hAnsi="仿宋"/>
        </w:rPr>
        <w:t>依据：《证券公司信息隔离墙制度指引》第十五条</w:t>
      </w:r>
    </w:p>
    <w:p>
      <w:pPr>
        <w:tabs>
          <w:tab w:val="left" w:pos="1134"/>
        </w:tabs>
        <w:spacing w:line="360" w:lineRule="auto"/>
        <w:ind w:firstLine="480" w:firstLineChars="200"/>
        <w:rPr>
          <w:rFonts w:ascii="仿宋" w:hAnsi="仿宋"/>
        </w:rPr>
      </w:pPr>
      <w:r>
        <w:rPr>
          <w:rFonts w:hint="eastAsia" w:ascii="仿宋" w:hAnsi="仿宋"/>
        </w:rPr>
        <w:t>证券公司存在利益冲突的业务部门互为信息隔离墙的两侧。处于信息隔离墙两侧的业务部门及其工作人员之间对敏感信息进行交流的，应当履行跨墙审批程序。</w:t>
      </w:r>
    </w:p>
    <w:p>
      <w:pPr>
        <w:tabs>
          <w:tab w:val="left" w:pos="1134"/>
        </w:tabs>
        <w:spacing w:line="360" w:lineRule="auto"/>
        <w:ind w:firstLine="480" w:firstLineChars="200"/>
        <w:rPr>
          <w:rFonts w:ascii="仿宋" w:hAnsi="仿宋"/>
        </w:rPr>
      </w:pPr>
      <w:r>
        <w:rPr>
          <w:rFonts w:hint="eastAsia" w:ascii="仿宋" w:hAnsi="仿宋"/>
        </w:rPr>
        <w:t>因履行管理职责需要知悉敏感信息的工作人员处于信息隔离墙的墙上。证券公司应当建立墙上人员管理制度，明确墙上人员的范围及其行为规范，防止墙上人员不当使用敏感信息。</w:t>
      </w:r>
    </w:p>
    <w:p>
      <w:pPr>
        <w:pStyle w:val="4"/>
        <w:rPr>
          <w:szCs w:val="24"/>
        </w:rPr>
      </w:pPr>
      <w:bookmarkStart w:id="561" w:name="_Toc400554063"/>
      <w:bookmarkStart w:id="562" w:name="_Toc3896866"/>
      <w:bookmarkStart w:id="563" w:name="_Toc410115250"/>
      <w:r>
        <w:rPr>
          <w:rFonts w:hint="eastAsia"/>
          <w:szCs w:val="24"/>
        </w:rPr>
        <w:t>（九）跨墙审批的程序和跨墙人员行为监督管理；</w:t>
      </w:r>
      <w:bookmarkEnd w:id="561"/>
      <w:bookmarkEnd w:id="562"/>
      <w:bookmarkEnd w:id="563"/>
    </w:p>
    <w:p>
      <w:pPr>
        <w:tabs>
          <w:tab w:val="left" w:pos="1134"/>
        </w:tabs>
        <w:spacing w:line="360" w:lineRule="auto"/>
        <w:ind w:firstLine="480" w:firstLineChars="200"/>
        <w:rPr>
          <w:rFonts w:ascii="仿宋" w:hAnsi="仿宋"/>
        </w:rPr>
      </w:pPr>
      <w:r>
        <w:rPr>
          <w:rFonts w:hint="eastAsia" w:ascii="仿宋" w:hAnsi="仿宋"/>
        </w:rPr>
        <w:t>依据：《证券公司信息隔离墙制度指引》第十六、十七条</w:t>
      </w:r>
    </w:p>
    <w:p>
      <w:pPr>
        <w:tabs>
          <w:tab w:val="left" w:pos="1134"/>
        </w:tabs>
        <w:spacing w:line="360" w:lineRule="auto"/>
        <w:ind w:firstLine="480" w:firstLineChars="200"/>
        <w:rPr>
          <w:rFonts w:ascii="仿宋" w:hAnsi="仿宋"/>
        </w:rPr>
      </w:pPr>
      <w:r>
        <w:rPr>
          <w:rFonts w:hint="eastAsia" w:ascii="仿宋" w:hAnsi="仿宋"/>
        </w:rPr>
        <w:t>证券公司应当制定跨墙管理制度，明确跨墙的审批程序和跨墙人员的行为规范。</w:t>
      </w:r>
    </w:p>
    <w:p>
      <w:pPr>
        <w:tabs>
          <w:tab w:val="left" w:pos="1134"/>
        </w:tabs>
        <w:spacing w:line="360" w:lineRule="auto"/>
        <w:ind w:firstLine="480" w:firstLineChars="200"/>
        <w:rPr>
          <w:rFonts w:ascii="仿宋" w:hAnsi="仿宋"/>
        </w:rPr>
      </w:pPr>
      <w:r>
        <w:rPr>
          <w:rFonts w:hint="eastAsia" w:ascii="仿宋" w:hAnsi="仿宋"/>
        </w:rPr>
        <w:t>证券公司的业务部门需要其他部门派员跨墙协作的，应当事先向跨墙人员所属部门和合规部门提出申请，并经其审批同意。</w:t>
      </w:r>
    </w:p>
    <w:p>
      <w:pPr>
        <w:tabs>
          <w:tab w:val="left" w:pos="1134"/>
        </w:tabs>
        <w:spacing w:line="360" w:lineRule="auto"/>
        <w:ind w:firstLine="480" w:firstLineChars="200"/>
        <w:rPr>
          <w:rFonts w:ascii="仿宋" w:hAnsi="仿宋"/>
        </w:rPr>
      </w:pPr>
      <w:r>
        <w:rPr>
          <w:rFonts w:hint="eastAsia" w:ascii="仿宋" w:hAnsi="仿宋"/>
        </w:rPr>
        <w:t>跨墙人员在跨墙期间不应泄露或不当使用跨墙后知悉的敏感信息，不应获取与跨墙业务无关的敏感信息。</w:t>
      </w:r>
    </w:p>
    <w:p>
      <w:pPr>
        <w:tabs>
          <w:tab w:val="left" w:pos="1134"/>
        </w:tabs>
        <w:spacing w:line="360" w:lineRule="auto"/>
        <w:ind w:firstLine="480" w:firstLineChars="200"/>
        <w:rPr>
          <w:rFonts w:ascii="仿宋" w:hAnsi="仿宋"/>
        </w:rPr>
      </w:pPr>
      <w:r>
        <w:rPr>
          <w:rFonts w:hint="eastAsia" w:ascii="仿宋" w:hAnsi="仿宋"/>
        </w:rPr>
        <w:t>跨墙人员在跨墙活动结束且获取的敏感信息已公开或者不再具有重大影响后方可回墙。</w:t>
      </w:r>
    </w:p>
    <w:p>
      <w:pPr>
        <w:tabs>
          <w:tab w:val="left" w:pos="1134"/>
        </w:tabs>
        <w:spacing w:line="360" w:lineRule="auto"/>
        <w:ind w:firstLine="480" w:firstLineChars="200"/>
        <w:rPr>
          <w:rFonts w:ascii="仿宋" w:hAnsi="仿宋"/>
        </w:rPr>
      </w:pPr>
      <w:r>
        <w:rPr>
          <w:rFonts w:hint="eastAsia" w:ascii="仿宋" w:hAnsi="仿宋"/>
        </w:rPr>
        <w:t>证券公司有关部门应当分工合作，对跨墙人员的行为进行监督管理。</w:t>
      </w:r>
    </w:p>
    <w:p>
      <w:pPr>
        <w:tabs>
          <w:tab w:val="left" w:pos="1134"/>
        </w:tabs>
        <w:spacing w:line="360" w:lineRule="auto"/>
        <w:ind w:firstLine="480" w:firstLineChars="200"/>
        <w:rPr>
          <w:rFonts w:ascii="仿宋" w:hAnsi="仿宋"/>
        </w:rPr>
      </w:pPr>
      <w:r>
        <w:rPr>
          <w:rFonts w:hint="eastAsia" w:ascii="仿宋" w:hAnsi="仿宋"/>
        </w:rPr>
        <w:t>合规部门负责记录跨墙情况，向跨墙人员提示跨墙行为规范，并会同提出跨墙申请的业务部门和跨墙人员所属部门对跨墙人员行为进行监控。</w:t>
      </w:r>
    </w:p>
    <w:p>
      <w:pPr>
        <w:tabs>
          <w:tab w:val="left" w:pos="1134"/>
        </w:tabs>
        <w:spacing w:line="360" w:lineRule="auto"/>
        <w:ind w:firstLine="480" w:firstLineChars="200"/>
        <w:rPr>
          <w:rFonts w:ascii="仿宋" w:hAnsi="仿宋"/>
        </w:rPr>
      </w:pPr>
    </w:p>
    <w:p>
      <w:pPr>
        <w:pStyle w:val="3"/>
        <w:rPr>
          <w:sz w:val="24"/>
          <w:szCs w:val="24"/>
        </w:rPr>
      </w:pPr>
      <w:bookmarkStart w:id="564" w:name="_Toc399750575"/>
      <w:bookmarkStart w:id="565" w:name="_Toc400554064"/>
      <w:bookmarkStart w:id="566" w:name="_Toc410115251"/>
      <w:bookmarkStart w:id="567" w:name="_Toc3896867"/>
      <w:r>
        <w:rPr>
          <w:rFonts w:hint="eastAsia"/>
          <w:sz w:val="24"/>
          <w:szCs w:val="24"/>
        </w:rPr>
        <w:t>十六、关于分类评价</w:t>
      </w:r>
      <w:bookmarkEnd w:id="564"/>
      <w:bookmarkEnd w:id="565"/>
      <w:bookmarkEnd w:id="566"/>
      <w:bookmarkEnd w:id="567"/>
    </w:p>
    <w:p>
      <w:pPr>
        <w:spacing w:line="360" w:lineRule="auto"/>
        <w:ind w:firstLine="480" w:firstLineChars="200"/>
        <w:rPr>
          <w:rFonts w:ascii="仿宋" w:hAnsi="仿宋"/>
        </w:rPr>
      </w:pPr>
      <w:r>
        <w:rPr>
          <w:rFonts w:hint="eastAsia" w:ascii="仿宋" w:hAnsi="仿宋"/>
        </w:rPr>
        <w:t>掌握期货公司分类评价的概念，了解期货公司分类评价的级别、类型及含义，掌握分类监管中严重违规行为及处罚措施，掌握分类评价结果的运用及禁止事项，掌握保证金监控中心重大预警和一般预警的区别。</w:t>
      </w:r>
    </w:p>
    <w:p>
      <w:pPr>
        <w:pStyle w:val="4"/>
        <w:rPr>
          <w:szCs w:val="24"/>
        </w:rPr>
      </w:pPr>
      <w:bookmarkStart w:id="568" w:name="_Toc400554065"/>
      <w:bookmarkStart w:id="569" w:name="_Toc410115252"/>
      <w:bookmarkStart w:id="570" w:name="_Toc3896868"/>
      <w:r>
        <w:rPr>
          <w:rFonts w:hint="eastAsia"/>
          <w:szCs w:val="24"/>
        </w:rPr>
        <w:t>（一）分类评价的概念及四个维度；</w:t>
      </w:r>
      <w:bookmarkEnd w:id="568"/>
      <w:bookmarkEnd w:id="569"/>
      <w:bookmarkEnd w:id="570"/>
    </w:p>
    <w:p>
      <w:pPr>
        <w:tabs>
          <w:tab w:val="left" w:pos="1134"/>
        </w:tabs>
        <w:spacing w:line="360" w:lineRule="auto"/>
        <w:ind w:firstLine="480" w:firstLineChars="200"/>
        <w:rPr>
          <w:rFonts w:ascii="仿宋" w:hAnsi="仿宋"/>
        </w:rPr>
      </w:pPr>
      <w:r>
        <w:rPr>
          <w:rFonts w:hint="eastAsia" w:ascii="仿宋" w:hAnsi="仿宋"/>
        </w:rPr>
        <w:t>依据：《</w:t>
      </w:r>
      <w:r>
        <w:rPr>
          <w:rFonts w:ascii="仿宋" w:hAnsi="仿宋"/>
        </w:rPr>
        <w:t>期货公司分类监管规定</w:t>
      </w:r>
      <w:r>
        <w:rPr>
          <w:rFonts w:hint="eastAsia" w:ascii="仿宋" w:hAnsi="仿宋"/>
        </w:rPr>
        <w:t>》</w:t>
      </w:r>
      <w:r>
        <w:rPr>
          <w:rFonts w:ascii="仿宋" w:hAnsi="仿宋"/>
        </w:rPr>
        <w:t>第二条</w:t>
      </w:r>
    </w:p>
    <w:p>
      <w:pPr>
        <w:tabs>
          <w:tab w:val="left" w:pos="1134"/>
        </w:tabs>
        <w:spacing w:line="360" w:lineRule="auto"/>
        <w:ind w:firstLine="480" w:firstLineChars="200"/>
        <w:rPr>
          <w:rFonts w:ascii="仿宋" w:hAnsi="仿宋"/>
        </w:rPr>
      </w:pPr>
      <w:r>
        <w:rPr>
          <w:rFonts w:ascii="仿宋" w:hAnsi="仿宋"/>
        </w:rPr>
        <w:t>期货公司分类是指以期货公司风险管理能力为基础，结合公司市场竞争力、培育和发展机构投资者状况、持续合规状况，按照本规定评价和确定期货公司的类别。</w:t>
      </w:r>
    </w:p>
    <w:p>
      <w:pPr>
        <w:pStyle w:val="4"/>
        <w:rPr>
          <w:szCs w:val="24"/>
        </w:rPr>
      </w:pPr>
      <w:bookmarkStart w:id="571" w:name="_Toc410115253"/>
      <w:bookmarkStart w:id="572" w:name="_Toc3896869"/>
      <w:bookmarkStart w:id="573" w:name="_Toc400554066"/>
      <w:r>
        <w:rPr>
          <w:rFonts w:hint="eastAsia"/>
          <w:szCs w:val="24"/>
        </w:rPr>
        <w:t>（二）分类评价的级别类型和含义；</w:t>
      </w:r>
      <w:bookmarkEnd w:id="571"/>
      <w:bookmarkEnd w:id="572"/>
      <w:bookmarkEnd w:id="573"/>
    </w:p>
    <w:p>
      <w:pPr>
        <w:tabs>
          <w:tab w:val="left" w:pos="1134"/>
        </w:tabs>
        <w:spacing w:line="360" w:lineRule="auto"/>
        <w:ind w:firstLine="480" w:firstLineChars="200"/>
        <w:rPr>
          <w:rFonts w:ascii="仿宋" w:hAnsi="仿宋"/>
        </w:rPr>
      </w:pPr>
      <w:r>
        <w:rPr>
          <w:rFonts w:hint="eastAsia" w:ascii="仿宋" w:hAnsi="仿宋"/>
        </w:rPr>
        <w:t>依据：《</w:t>
      </w:r>
      <w:r>
        <w:rPr>
          <w:rFonts w:ascii="仿宋" w:hAnsi="仿宋"/>
        </w:rPr>
        <w:t>期货公司分类监管规定</w:t>
      </w:r>
      <w:r>
        <w:rPr>
          <w:rFonts w:hint="eastAsia" w:ascii="仿宋" w:hAnsi="仿宋"/>
        </w:rPr>
        <w:t>》</w:t>
      </w:r>
      <w:r>
        <w:rPr>
          <w:rFonts w:ascii="仿宋" w:hAnsi="仿宋"/>
        </w:rPr>
        <w:t>第二十五条</w:t>
      </w:r>
    </w:p>
    <w:p>
      <w:pPr>
        <w:tabs>
          <w:tab w:val="left" w:pos="1134"/>
        </w:tabs>
        <w:spacing w:line="360" w:lineRule="auto"/>
        <w:ind w:firstLine="480" w:firstLineChars="200"/>
        <w:rPr>
          <w:rFonts w:ascii="仿宋" w:hAnsi="仿宋"/>
        </w:rPr>
      </w:pPr>
      <w:r>
        <w:rPr>
          <w:rFonts w:ascii="仿宋" w:hAnsi="仿宋"/>
        </w:rPr>
        <w:t>根据期货公司评价计分的高低，将期货公司分为A（AAA、AA、A）、B（BBB、BB、B）、C（CCC、CC、C）、D、E等5类11个级别。</w:t>
      </w:r>
    </w:p>
    <w:p>
      <w:pPr>
        <w:tabs>
          <w:tab w:val="left" w:pos="1134"/>
        </w:tabs>
        <w:spacing w:line="360" w:lineRule="auto"/>
        <w:ind w:firstLine="480" w:firstLineChars="200"/>
        <w:rPr>
          <w:rFonts w:ascii="仿宋" w:hAnsi="仿宋"/>
        </w:rPr>
      </w:pPr>
      <w:r>
        <w:rPr>
          <w:rFonts w:ascii="仿宋" w:hAnsi="仿宋"/>
        </w:rPr>
        <w:t>（一）A类公司风险管理能力、市场竞争力、培育和发展机构投资者状况、持续合规状况的综合评价在行业内最高，能够较好控制业务风险；</w:t>
      </w:r>
    </w:p>
    <w:p>
      <w:pPr>
        <w:tabs>
          <w:tab w:val="left" w:pos="1134"/>
        </w:tabs>
        <w:spacing w:line="360" w:lineRule="auto"/>
        <w:ind w:firstLine="480" w:firstLineChars="200"/>
        <w:rPr>
          <w:rFonts w:ascii="仿宋" w:hAnsi="仿宋"/>
        </w:rPr>
      </w:pPr>
      <w:r>
        <w:rPr>
          <w:rFonts w:ascii="仿宋" w:hAnsi="仿宋"/>
        </w:rPr>
        <w:t>（二）B类公司风险管理能力、市场竞争力、培育和发展机构投资者状况、持续合规状况的综合评价在行业内较高，能够控制业务风险；</w:t>
      </w:r>
    </w:p>
    <w:p>
      <w:pPr>
        <w:tabs>
          <w:tab w:val="left" w:pos="1134"/>
        </w:tabs>
        <w:spacing w:line="360" w:lineRule="auto"/>
        <w:ind w:firstLine="480" w:firstLineChars="200"/>
        <w:rPr>
          <w:rFonts w:ascii="仿宋" w:hAnsi="仿宋"/>
        </w:rPr>
      </w:pPr>
      <w:r>
        <w:rPr>
          <w:rFonts w:ascii="仿宋" w:hAnsi="仿宋"/>
        </w:rPr>
        <w:t>（三）C类公司风险管理能力、市场竞争力、培育和发展机构投资者状况、持续合规状况的综合评价在行业内一般，风险管理能力与业务规模基本匹配；</w:t>
      </w:r>
    </w:p>
    <w:p>
      <w:pPr>
        <w:tabs>
          <w:tab w:val="left" w:pos="1134"/>
        </w:tabs>
        <w:spacing w:line="360" w:lineRule="auto"/>
        <w:ind w:firstLine="480" w:firstLineChars="200"/>
        <w:rPr>
          <w:rFonts w:ascii="仿宋" w:hAnsi="仿宋"/>
        </w:rPr>
      </w:pPr>
      <w:r>
        <w:rPr>
          <w:rFonts w:ascii="仿宋" w:hAnsi="仿宋"/>
        </w:rPr>
        <w:t>（四）D类公司风险管理能力、市场竞争力、培育和发展机构投资者状况、持续合规状况的综合评价在行业内较低，潜在风险可能超过公司可承受范围；</w:t>
      </w:r>
    </w:p>
    <w:p>
      <w:pPr>
        <w:tabs>
          <w:tab w:val="left" w:pos="1134"/>
        </w:tabs>
        <w:spacing w:line="360" w:lineRule="auto"/>
        <w:ind w:firstLine="480" w:firstLineChars="200"/>
        <w:rPr>
          <w:rFonts w:ascii="仿宋" w:hAnsi="仿宋"/>
        </w:rPr>
      </w:pPr>
      <w:r>
        <w:rPr>
          <w:rFonts w:ascii="仿宋" w:hAnsi="仿宋"/>
        </w:rPr>
        <w:t>（五）E类公司潜在风险已经变为现实风险，已被采取风险处置措施。</w:t>
      </w:r>
    </w:p>
    <w:p>
      <w:pPr>
        <w:pStyle w:val="4"/>
        <w:rPr>
          <w:szCs w:val="24"/>
        </w:rPr>
      </w:pPr>
      <w:bookmarkStart w:id="574" w:name="_Toc410115254"/>
      <w:bookmarkStart w:id="575" w:name="_Toc3896870"/>
      <w:bookmarkStart w:id="576" w:name="_Toc400554067"/>
      <w:r>
        <w:rPr>
          <w:rFonts w:hint="eastAsia"/>
          <w:szCs w:val="24"/>
        </w:rPr>
        <w:t>（三）分类评价中的严重违规行为和处罚措施；</w:t>
      </w:r>
      <w:bookmarkEnd w:id="574"/>
      <w:bookmarkEnd w:id="575"/>
      <w:bookmarkEnd w:id="576"/>
    </w:p>
    <w:p>
      <w:pPr>
        <w:tabs>
          <w:tab w:val="left" w:pos="1134"/>
        </w:tabs>
        <w:spacing w:line="360" w:lineRule="auto"/>
        <w:ind w:firstLine="480" w:firstLineChars="200"/>
        <w:rPr>
          <w:rFonts w:ascii="仿宋" w:hAnsi="仿宋"/>
        </w:rPr>
      </w:pPr>
      <w:r>
        <w:rPr>
          <w:rFonts w:hint="eastAsia" w:ascii="仿宋" w:hAnsi="仿宋"/>
        </w:rPr>
        <w:t>依据：《</w:t>
      </w:r>
      <w:r>
        <w:rPr>
          <w:rFonts w:ascii="仿宋" w:hAnsi="仿宋"/>
        </w:rPr>
        <w:t>期货公司分类监管规定</w:t>
      </w:r>
      <w:r>
        <w:rPr>
          <w:rFonts w:hint="eastAsia" w:ascii="仿宋" w:hAnsi="仿宋"/>
        </w:rPr>
        <w:t>》</w:t>
      </w:r>
      <w:r>
        <w:rPr>
          <w:rFonts w:ascii="仿宋" w:hAnsi="仿宋"/>
        </w:rPr>
        <w:t>第二十九条</w:t>
      </w:r>
    </w:p>
    <w:p>
      <w:pPr>
        <w:tabs>
          <w:tab w:val="left" w:pos="1134"/>
        </w:tabs>
        <w:spacing w:line="360" w:lineRule="auto"/>
        <w:ind w:firstLine="480" w:firstLineChars="200"/>
        <w:rPr>
          <w:rFonts w:ascii="仿宋" w:hAnsi="仿宋"/>
        </w:rPr>
      </w:pPr>
      <w:r>
        <w:rPr>
          <w:rFonts w:ascii="仿宋" w:hAnsi="仿宋"/>
        </w:rPr>
        <w:t>期货公司在评价期内存在股东虚假出资、股东抽逃出资、挪用客户保证金、超范围经营、信息系统不符合监管要求、日常经营及自评中向中国证监会及其派出机构、期货保证金监控中心报送虚假材料等情形的，将公司类别下调3个级别；情节严重的，直接评为D类</w:t>
      </w:r>
      <w:r>
        <w:rPr>
          <w:rFonts w:hint="eastAsia" w:ascii="仿宋" w:hAnsi="仿宋"/>
        </w:rPr>
        <w:t>。</w:t>
      </w:r>
    </w:p>
    <w:p>
      <w:pPr>
        <w:pStyle w:val="4"/>
        <w:rPr>
          <w:szCs w:val="24"/>
        </w:rPr>
      </w:pPr>
      <w:bookmarkStart w:id="577" w:name="_Toc400554068"/>
      <w:bookmarkStart w:id="578" w:name="_Toc410115255"/>
      <w:bookmarkStart w:id="579" w:name="_Toc3896871"/>
      <w:r>
        <w:rPr>
          <w:rFonts w:hint="eastAsia"/>
          <w:szCs w:val="24"/>
        </w:rPr>
        <w:t>（四）分类评价结果的运用及禁止事项</w:t>
      </w:r>
      <w:bookmarkEnd w:id="577"/>
      <w:bookmarkEnd w:id="578"/>
      <w:r>
        <w:rPr>
          <w:rFonts w:hint="eastAsia"/>
          <w:szCs w:val="24"/>
        </w:rPr>
        <w:t>；</w:t>
      </w:r>
      <w:bookmarkEnd w:id="579"/>
    </w:p>
    <w:p>
      <w:pPr>
        <w:tabs>
          <w:tab w:val="left" w:pos="1134"/>
        </w:tabs>
        <w:spacing w:line="360" w:lineRule="auto"/>
        <w:ind w:firstLine="480" w:firstLineChars="200"/>
        <w:rPr>
          <w:rFonts w:ascii="仿宋" w:hAnsi="仿宋"/>
        </w:rPr>
      </w:pPr>
      <w:r>
        <w:rPr>
          <w:rFonts w:hint="eastAsia" w:ascii="仿宋" w:hAnsi="仿宋"/>
        </w:rPr>
        <w:t>依据：《</w:t>
      </w:r>
      <w:r>
        <w:rPr>
          <w:rFonts w:ascii="仿宋" w:hAnsi="仿宋"/>
        </w:rPr>
        <w:t>期货公司分类监管规定</w:t>
      </w:r>
      <w:r>
        <w:rPr>
          <w:rFonts w:hint="eastAsia" w:ascii="仿宋" w:hAnsi="仿宋"/>
        </w:rPr>
        <w:t>》</w:t>
      </w:r>
      <w:r>
        <w:rPr>
          <w:rFonts w:ascii="仿宋" w:hAnsi="仿宋"/>
        </w:rPr>
        <w:t>第四十五、第四十六条、第四十七条、第四十八条、第四十九条</w:t>
      </w:r>
    </w:p>
    <w:p>
      <w:pPr>
        <w:tabs>
          <w:tab w:val="left" w:pos="1134"/>
        </w:tabs>
        <w:spacing w:line="360" w:lineRule="auto"/>
        <w:ind w:firstLine="480" w:firstLineChars="200"/>
        <w:rPr>
          <w:rFonts w:ascii="仿宋" w:hAnsi="仿宋"/>
        </w:rPr>
      </w:pPr>
      <w:r>
        <w:rPr>
          <w:rFonts w:ascii="仿宋" w:hAnsi="仿宋"/>
        </w:rPr>
        <w:t>中国证监会按照分类监管原则，对不同类别的期货公司在监管资源分配、现场检查和非现场检查频率等方面区别对待。</w:t>
      </w:r>
    </w:p>
    <w:p>
      <w:pPr>
        <w:tabs>
          <w:tab w:val="left" w:pos="1134"/>
        </w:tabs>
        <w:spacing w:line="360" w:lineRule="auto"/>
        <w:ind w:firstLine="480" w:firstLineChars="200"/>
        <w:rPr>
          <w:rFonts w:ascii="仿宋" w:hAnsi="仿宋"/>
        </w:rPr>
      </w:pPr>
      <w:r>
        <w:rPr>
          <w:rFonts w:ascii="仿宋" w:hAnsi="仿宋"/>
        </w:rPr>
        <w:t>期货公司分类结果将作为期货公司申请增加业务种类、新设营业网点等事项的审慎性条件。</w:t>
      </w:r>
    </w:p>
    <w:p>
      <w:pPr>
        <w:tabs>
          <w:tab w:val="left" w:pos="1134"/>
        </w:tabs>
        <w:spacing w:line="360" w:lineRule="auto"/>
        <w:ind w:firstLine="480" w:firstLineChars="200"/>
        <w:rPr>
          <w:rFonts w:ascii="仿宋" w:hAnsi="仿宋"/>
        </w:rPr>
      </w:pPr>
      <w:r>
        <w:rPr>
          <w:rFonts w:ascii="仿宋" w:hAnsi="仿宋"/>
        </w:rPr>
        <w:t>期货公司分类结果将作为确定新业务试点范围和推广顺序的依据。</w:t>
      </w:r>
    </w:p>
    <w:p>
      <w:pPr>
        <w:tabs>
          <w:tab w:val="left" w:pos="1134"/>
        </w:tabs>
        <w:spacing w:line="360" w:lineRule="auto"/>
        <w:ind w:firstLine="480" w:firstLineChars="200"/>
        <w:rPr>
          <w:rFonts w:ascii="仿宋" w:hAnsi="仿宋"/>
        </w:rPr>
      </w:pPr>
      <w:r>
        <w:rPr>
          <w:rFonts w:ascii="仿宋" w:hAnsi="仿宋"/>
        </w:rPr>
        <w:t>期货公司分类结果将作为确定期货投资者保障基金不同缴纳比例的依据。</w:t>
      </w:r>
    </w:p>
    <w:p>
      <w:pPr>
        <w:tabs>
          <w:tab w:val="left" w:pos="1134"/>
        </w:tabs>
        <w:spacing w:line="360" w:lineRule="auto"/>
        <w:ind w:firstLine="480" w:firstLineChars="200"/>
        <w:rPr>
          <w:rFonts w:ascii="仿宋" w:hAnsi="仿宋"/>
        </w:rPr>
      </w:pPr>
      <w:r>
        <w:rPr>
          <w:rFonts w:ascii="仿宋" w:hAnsi="仿宋"/>
        </w:rPr>
        <w:t>期货公司分类结果主要供中国证监会及其派出机构、各期货交易所、期货保证金监控中心、中国期货业协会等机构使用。</w:t>
      </w:r>
    </w:p>
    <w:p>
      <w:pPr>
        <w:tabs>
          <w:tab w:val="left" w:pos="1134"/>
        </w:tabs>
        <w:spacing w:line="360" w:lineRule="auto"/>
        <w:ind w:firstLine="480" w:firstLineChars="200"/>
        <w:rPr>
          <w:rFonts w:ascii="仿宋" w:hAnsi="仿宋"/>
        </w:rPr>
      </w:pPr>
      <w:r>
        <w:rPr>
          <w:rFonts w:ascii="仿宋" w:hAnsi="仿宋"/>
        </w:rPr>
        <w:t>期货公司不得将分类结果用于广告、宣传、营销等商业目的。</w:t>
      </w:r>
    </w:p>
    <w:p>
      <w:pPr>
        <w:pStyle w:val="4"/>
        <w:rPr>
          <w:szCs w:val="24"/>
        </w:rPr>
      </w:pPr>
      <w:bookmarkStart w:id="580" w:name="_Toc410115256"/>
      <w:bookmarkStart w:id="581" w:name="_Toc3896872"/>
      <w:bookmarkStart w:id="582" w:name="_Toc400554069"/>
      <w:r>
        <w:rPr>
          <w:rFonts w:hint="eastAsia"/>
          <w:szCs w:val="24"/>
        </w:rPr>
        <w:t>（五）保证金监控中心重大预警和一般预警的区别；</w:t>
      </w:r>
      <w:bookmarkEnd w:id="580"/>
      <w:bookmarkEnd w:id="581"/>
      <w:bookmarkEnd w:id="582"/>
    </w:p>
    <w:p>
      <w:pPr>
        <w:tabs>
          <w:tab w:val="left" w:pos="1134"/>
        </w:tabs>
        <w:spacing w:line="360" w:lineRule="auto"/>
        <w:ind w:firstLine="480" w:firstLineChars="200"/>
        <w:rPr>
          <w:rFonts w:ascii="仿宋" w:hAnsi="仿宋"/>
        </w:rPr>
      </w:pPr>
      <w:r>
        <w:rPr>
          <w:rFonts w:hint="eastAsia" w:ascii="仿宋" w:hAnsi="仿宋"/>
        </w:rPr>
        <w:t>依据：《</w:t>
      </w:r>
      <w:r>
        <w:rPr>
          <w:rFonts w:ascii="仿宋" w:hAnsi="仿宋"/>
        </w:rPr>
        <w:t>期货公司分类监管规定</w:t>
      </w:r>
      <w:r>
        <w:rPr>
          <w:rFonts w:hint="eastAsia" w:ascii="仿宋" w:hAnsi="仿宋"/>
        </w:rPr>
        <w:t>》</w:t>
      </w:r>
      <w:r>
        <w:rPr>
          <w:rFonts w:ascii="仿宋" w:hAnsi="仿宋"/>
        </w:rPr>
        <w:t>第五十条</w:t>
      </w:r>
    </w:p>
    <w:p>
      <w:pPr>
        <w:tabs>
          <w:tab w:val="left" w:pos="1134"/>
        </w:tabs>
        <w:spacing w:line="360" w:lineRule="auto"/>
        <w:ind w:firstLine="480" w:firstLineChars="200"/>
        <w:rPr>
          <w:rFonts w:ascii="仿宋" w:hAnsi="仿宋"/>
        </w:rPr>
      </w:pPr>
      <w:r>
        <w:rPr>
          <w:rFonts w:ascii="仿宋" w:hAnsi="仿宋"/>
        </w:rPr>
        <w:t>（一）期货保证金监控中心重大预警，是指由于期货公司保证金封闭圈内自有资金不足或者保证金出现缺口等事项而导致的预警，以及期货保证金监控中心认定的其他重大预警情形。</w:t>
      </w:r>
    </w:p>
    <w:p>
      <w:pPr>
        <w:tabs>
          <w:tab w:val="left" w:pos="1134"/>
        </w:tabs>
        <w:spacing w:line="360" w:lineRule="auto"/>
        <w:ind w:firstLine="480" w:firstLineChars="200"/>
        <w:rPr>
          <w:rFonts w:ascii="仿宋" w:hAnsi="仿宋"/>
        </w:rPr>
      </w:pPr>
      <w:r>
        <w:rPr>
          <w:rFonts w:ascii="仿宋" w:hAnsi="仿宋"/>
        </w:rPr>
        <w:t>（二）期货保证金监控中心一般预警，是指除上述重大预警以外的其他预警。</w:t>
      </w:r>
      <w:r>
        <w:rPr>
          <w:rFonts w:ascii="仿宋" w:hAnsi="仿宋"/>
        </w:rPr>
        <w:br w:type="page"/>
      </w:r>
    </w:p>
    <w:p>
      <w:pPr>
        <w:pStyle w:val="2"/>
      </w:pPr>
      <w:bookmarkStart w:id="583" w:name="_Toc400554070"/>
      <w:bookmarkStart w:id="584" w:name="_Toc410115257"/>
      <w:bookmarkStart w:id="585" w:name="_Toc3896873"/>
      <w:r>
        <w:rPr>
          <w:rFonts w:hint="eastAsia"/>
        </w:rPr>
        <w:t>第四部分</w:t>
      </w:r>
      <w:r>
        <w:tab/>
      </w:r>
      <w:r>
        <w:rPr>
          <w:rFonts w:hint="eastAsia"/>
        </w:rPr>
        <w:t>期货公司的风险管理与内控制度</w:t>
      </w:r>
      <w:bookmarkEnd w:id="583"/>
      <w:bookmarkEnd w:id="584"/>
      <w:bookmarkEnd w:id="585"/>
    </w:p>
    <w:p>
      <w:pPr>
        <w:pStyle w:val="3"/>
        <w:rPr>
          <w:sz w:val="24"/>
          <w:szCs w:val="24"/>
        </w:rPr>
      </w:pPr>
      <w:bookmarkStart w:id="586" w:name="_Toc400554071"/>
      <w:bookmarkStart w:id="587" w:name="_Toc410115258"/>
      <w:bookmarkStart w:id="588" w:name="_Toc3896874"/>
      <w:r>
        <w:rPr>
          <w:rFonts w:hint="eastAsia"/>
          <w:sz w:val="24"/>
          <w:szCs w:val="24"/>
        </w:rPr>
        <w:t>一、期货公司是高风险型企业</w:t>
      </w:r>
      <w:bookmarkEnd w:id="586"/>
      <w:bookmarkEnd w:id="587"/>
      <w:bookmarkEnd w:id="588"/>
    </w:p>
    <w:p>
      <w:pPr>
        <w:spacing w:line="360" w:lineRule="auto"/>
        <w:ind w:firstLine="480" w:firstLineChars="200"/>
        <w:jc w:val="left"/>
        <w:rPr>
          <w:rFonts w:ascii="仿宋" w:hAnsi="仿宋"/>
        </w:rPr>
      </w:pPr>
      <w:bookmarkStart w:id="589" w:name="_Toc400554072"/>
      <w:r>
        <w:rPr>
          <w:rFonts w:hint="eastAsia" w:ascii="仿宋" w:hAnsi="仿宋"/>
        </w:rPr>
        <w:t>期货公司与其它金融企业一样，是承担风险，管理风险进而获取风险收益的企业。</w:t>
      </w:r>
      <w:bookmarkEnd w:id="589"/>
    </w:p>
    <w:p>
      <w:pPr>
        <w:spacing w:line="360" w:lineRule="auto"/>
        <w:ind w:firstLine="480" w:firstLineChars="200"/>
        <w:jc w:val="left"/>
        <w:rPr>
          <w:rFonts w:ascii="仿宋" w:hAnsi="仿宋"/>
        </w:rPr>
      </w:pPr>
      <w:bookmarkStart w:id="590" w:name="_Toc400554073"/>
      <w:r>
        <w:rPr>
          <w:rFonts w:hint="eastAsia" w:ascii="仿宋" w:hAnsi="仿宋"/>
        </w:rPr>
        <w:t>与其它金融企业相比，期货公司所面临的期货市场风险又有以下特点：</w:t>
      </w:r>
      <w:bookmarkEnd w:id="590"/>
    </w:p>
    <w:p>
      <w:pPr>
        <w:spacing w:line="360" w:lineRule="auto"/>
        <w:ind w:firstLine="480" w:firstLineChars="200"/>
        <w:rPr>
          <w:rFonts w:ascii="仿宋" w:hAnsi="仿宋"/>
        </w:rPr>
      </w:pPr>
      <w:bookmarkStart w:id="591" w:name="_Toc400554074"/>
      <w:r>
        <w:rPr>
          <w:rFonts w:hint="eastAsia" w:ascii="仿宋" w:hAnsi="仿宋"/>
        </w:rPr>
        <w:t>1、期货市场价格的波动性大。期货市场集中交易方式和价格变动的连续性，使期货市场可能在极短时间内浓缩了现货市场相当时段的价格波动，剧烈的价格震荡孕育市场风险。期货公司代理客户从事期货交易，吸收客户资金，如发生突发性的市场风险往往会涉及期货公司。</w:t>
      </w:r>
      <w:bookmarkEnd w:id="591"/>
    </w:p>
    <w:p>
      <w:pPr>
        <w:spacing w:line="360" w:lineRule="auto"/>
        <w:ind w:firstLine="480" w:firstLineChars="200"/>
        <w:jc w:val="left"/>
        <w:rPr>
          <w:rFonts w:ascii="仿宋" w:hAnsi="仿宋"/>
        </w:rPr>
      </w:pPr>
      <w:bookmarkStart w:id="592" w:name="_Toc400554075"/>
      <w:r>
        <w:rPr>
          <w:rFonts w:hint="eastAsia" w:ascii="仿宋" w:hAnsi="仿宋"/>
        </w:rPr>
        <w:t>2、期货市场实行的是交易保证金制度，具有以小搏大的杠杆作用。期货公司是保证金管理的第一道防线，当客户保证金不足造成穿仓时，期货公司有时会被动地成为风险承担着。</w:t>
      </w:r>
      <w:bookmarkEnd w:id="592"/>
    </w:p>
    <w:p>
      <w:pPr>
        <w:spacing w:line="360" w:lineRule="auto"/>
        <w:ind w:firstLine="480" w:firstLineChars="200"/>
        <w:jc w:val="left"/>
        <w:rPr>
          <w:rFonts w:ascii="仿宋" w:hAnsi="仿宋"/>
        </w:rPr>
      </w:pPr>
      <w:bookmarkStart w:id="593" w:name="_Toc400554076"/>
      <w:r>
        <w:rPr>
          <w:rFonts w:hint="eastAsia" w:ascii="仿宋" w:hAnsi="仿宋"/>
        </w:rPr>
        <w:t>3、期货市场的投机性强。期货市场允许投机者合法进入，尽管在正常状态下，投机者是市场风险承担者，但在利益驱动下，有时投机过度也会成为市场风险制造者，在风险控制不力情况下，这种风险往往传导给期货公司。</w:t>
      </w:r>
      <w:bookmarkEnd w:id="593"/>
    </w:p>
    <w:p>
      <w:pPr>
        <w:pStyle w:val="3"/>
        <w:numPr>
          <w:ilvl w:val="0"/>
          <w:numId w:val="6"/>
        </w:numPr>
        <w:rPr>
          <w:sz w:val="24"/>
          <w:szCs w:val="24"/>
        </w:rPr>
      </w:pPr>
      <w:bookmarkStart w:id="594" w:name="_Toc400554077"/>
      <w:bookmarkStart w:id="595" w:name="_Toc410115259"/>
      <w:bookmarkStart w:id="596" w:name="_Toc3896875"/>
      <w:r>
        <w:rPr>
          <w:rFonts w:hint="eastAsia"/>
          <w:sz w:val="24"/>
          <w:szCs w:val="24"/>
        </w:rPr>
        <w:t>期货公司的主要风险类型</w:t>
      </w:r>
      <w:bookmarkEnd w:id="594"/>
      <w:bookmarkEnd w:id="595"/>
      <w:bookmarkEnd w:id="596"/>
    </w:p>
    <w:p>
      <w:pPr>
        <w:spacing w:line="360" w:lineRule="auto"/>
        <w:ind w:left="480"/>
        <w:jc w:val="left"/>
        <w:rPr>
          <w:rFonts w:ascii="仿宋" w:hAnsi="仿宋"/>
        </w:rPr>
      </w:pPr>
      <w:bookmarkStart w:id="597" w:name="_Toc400554078"/>
      <w:r>
        <w:rPr>
          <w:rFonts w:hint="eastAsia" w:ascii="仿宋" w:hAnsi="仿宋"/>
        </w:rPr>
        <w:t>1、市场风险</w:t>
      </w:r>
      <w:bookmarkEnd w:id="597"/>
    </w:p>
    <w:p>
      <w:pPr>
        <w:spacing w:line="360" w:lineRule="auto"/>
        <w:ind w:firstLine="480" w:firstLineChars="200"/>
        <w:jc w:val="left"/>
        <w:rPr>
          <w:rFonts w:ascii="仿宋" w:hAnsi="仿宋"/>
        </w:rPr>
      </w:pPr>
      <w:bookmarkStart w:id="598" w:name="_Toc400554079"/>
      <w:r>
        <w:rPr>
          <w:rFonts w:hint="eastAsia" w:ascii="仿宋" w:hAnsi="仿宋"/>
        </w:rPr>
        <w:t>价格波动幅度大，行情表现为连续涨或跌停板，亏损一方难以退出，客户出现爆仓风险</w:t>
      </w:r>
      <w:bookmarkEnd w:id="598"/>
      <w:r>
        <w:rPr>
          <w:rFonts w:hint="eastAsia" w:ascii="仿宋" w:hAnsi="仿宋"/>
        </w:rPr>
        <w:t>。</w:t>
      </w:r>
    </w:p>
    <w:p>
      <w:pPr>
        <w:pStyle w:val="40"/>
        <w:numPr>
          <w:ilvl w:val="0"/>
          <w:numId w:val="7"/>
        </w:numPr>
        <w:spacing w:line="360" w:lineRule="auto"/>
        <w:ind w:firstLineChars="0"/>
        <w:jc w:val="left"/>
        <w:rPr>
          <w:rFonts w:ascii="仿宋" w:hAnsi="仿宋"/>
        </w:rPr>
      </w:pPr>
      <w:bookmarkStart w:id="599" w:name="_Toc400554080"/>
      <w:r>
        <w:rPr>
          <w:rFonts w:hint="eastAsia" w:ascii="仿宋" w:hAnsi="仿宋"/>
        </w:rPr>
        <w:t>操作风险</w:t>
      </w:r>
      <w:bookmarkEnd w:id="599"/>
    </w:p>
    <w:p>
      <w:pPr>
        <w:spacing w:line="360" w:lineRule="auto"/>
        <w:ind w:firstLine="480" w:firstLineChars="200"/>
        <w:jc w:val="left"/>
        <w:rPr>
          <w:rFonts w:ascii="仿宋" w:hAnsi="仿宋"/>
        </w:rPr>
      </w:pPr>
      <w:bookmarkStart w:id="600" w:name="_Toc400554081"/>
      <w:r>
        <w:rPr>
          <w:rFonts w:hint="eastAsia" w:ascii="仿宋" w:hAnsi="仿宋"/>
        </w:rPr>
        <w:t>表现为期货公司在期货代理业务各环节上因操作失误和管理不善而产生的风险</w:t>
      </w:r>
      <w:bookmarkEnd w:id="600"/>
      <w:r>
        <w:rPr>
          <w:rFonts w:hint="eastAsia" w:ascii="仿宋" w:hAnsi="仿宋"/>
        </w:rPr>
        <w:t>。</w:t>
      </w:r>
    </w:p>
    <w:p>
      <w:pPr>
        <w:pStyle w:val="40"/>
        <w:numPr>
          <w:ilvl w:val="0"/>
          <w:numId w:val="7"/>
        </w:numPr>
        <w:spacing w:line="360" w:lineRule="auto"/>
        <w:ind w:firstLineChars="0"/>
        <w:jc w:val="left"/>
        <w:rPr>
          <w:rFonts w:ascii="仿宋" w:hAnsi="仿宋"/>
        </w:rPr>
      </w:pPr>
      <w:bookmarkStart w:id="601" w:name="_Toc400554082"/>
      <w:r>
        <w:rPr>
          <w:rFonts w:hint="eastAsia" w:ascii="仿宋" w:hAnsi="仿宋"/>
        </w:rPr>
        <w:t>流动性风险</w:t>
      </w:r>
      <w:bookmarkEnd w:id="601"/>
    </w:p>
    <w:p>
      <w:pPr>
        <w:spacing w:line="360" w:lineRule="auto"/>
        <w:ind w:firstLine="480" w:firstLineChars="200"/>
        <w:jc w:val="left"/>
        <w:rPr>
          <w:rFonts w:ascii="仿宋" w:hAnsi="仿宋"/>
        </w:rPr>
      </w:pPr>
      <w:bookmarkStart w:id="602" w:name="_Toc400554083"/>
      <w:r>
        <w:rPr>
          <w:rFonts w:hint="eastAsia" w:ascii="仿宋" w:hAnsi="仿宋"/>
        </w:rPr>
        <w:t>期货公司不能如期满足客户提取保证金不能如期偿还流动性负债而导致的资金风险</w:t>
      </w:r>
      <w:bookmarkEnd w:id="602"/>
      <w:r>
        <w:rPr>
          <w:rFonts w:hint="eastAsia" w:ascii="仿宋" w:hAnsi="仿宋"/>
        </w:rPr>
        <w:t>。</w:t>
      </w:r>
    </w:p>
    <w:p>
      <w:pPr>
        <w:pStyle w:val="40"/>
        <w:numPr>
          <w:ilvl w:val="0"/>
          <w:numId w:val="7"/>
        </w:numPr>
        <w:spacing w:line="360" w:lineRule="auto"/>
        <w:ind w:firstLineChars="0"/>
        <w:jc w:val="left"/>
        <w:rPr>
          <w:rFonts w:ascii="仿宋" w:hAnsi="仿宋"/>
        </w:rPr>
      </w:pPr>
      <w:bookmarkStart w:id="603" w:name="_Toc400554084"/>
      <w:r>
        <w:rPr>
          <w:rFonts w:hint="eastAsia" w:ascii="仿宋" w:hAnsi="仿宋"/>
        </w:rPr>
        <w:t>技术风险</w:t>
      </w:r>
      <w:bookmarkEnd w:id="603"/>
    </w:p>
    <w:p>
      <w:pPr>
        <w:spacing w:line="360" w:lineRule="auto"/>
        <w:ind w:firstLine="480" w:firstLineChars="200"/>
        <w:jc w:val="left"/>
        <w:rPr>
          <w:rFonts w:ascii="仿宋" w:hAnsi="仿宋"/>
        </w:rPr>
      </w:pPr>
      <w:bookmarkStart w:id="604" w:name="_Toc400554085"/>
      <w:r>
        <w:rPr>
          <w:rFonts w:hint="eastAsia" w:ascii="仿宋" w:hAnsi="仿宋"/>
        </w:rPr>
        <w:t>公司电脑硬件、软件及网络系统出现故障而产生的风险</w:t>
      </w:r>
      <w:bookmarkEnd w:id="604"/>
      <w:r>
        <w:rPr>
          <w:rFonts w:hint="eastAsia" w:ascii="仿宋" w:hAnsi="仿宋"/>
        </w:rPr>
        <w:t>。</w:t>
      </w:r>
    </w:p>
    <w:p>
      <w:pPr>
        <w:pStyle w:val="40"/>
        <w:numPr>
          <w:ilvl w:val="0"/>
          <w:numId w:val="7"/>
        </w:numPr>
        <w:spacing w:line="360" w:lineRule="auto"/>
        <w:ind w:firstLineChars="0"/>
        <w:jc w:val="left"/>
        <w:rPr>
          <w:rFonts w:ascii="仿宋" w:hAnsi="仿宋"/>
        </w:rPr>
      </w:pPr>
      <w:bookmarkStart w:id="605" w:name="_Toc400554086"/>
      <w:r>
        <w:rPr>
          <w:rFonts w:hint="eastAsia" w:ascii="仿宋" w:hAnsi="仿宋"/>
        </w:rPr>
        <w:t>法律风险</w:t>
      </w:r>
      <w:bookmarkEnd w:id="605"/>
    </w:p>
    <w:p>
      <w:pPr>
        <w:spacing w:line="360" w:lineRule="auto"/>
        <w:ind w:firstLine="480" w:firstLineChars="200"/>
        <w:jc w:val="left"/>
        <w:rPr>
          <w:rFonts w:ascii="仿宋" w:hAnsi="仿宋"/>
        </w:rPr>
      </w:pPr>
      <w:bookmarkStart w:id="606" w:name="_Toc400554087"/>
      <w:r>
        <w:rPr>
          <w:rFonts w:hint="eastAsia" w:ascii="仿宋" w:hAnsi="仿宋"/>
        </w:rPr>
        <w:t>因客户提出法律诉讼而产生的风险</w:t>
      </w:r>
      <w:bookmarkEnd w:id="606"/>
      <w:r>
        <w:rPr>
          <w:rFonts w:hint="eastAsia" w:ascii="仿宋" w:hAnsi="仿宋"/>
        </w:rPr>
        <w:t>。</w:t>
      </w:r>
    </w:p>
    <w:p>
      <w:pPr>
        <w:pStyle w:val="40"/>
        <w:numPr>
          <w:ilvl w:val="0"/>
          <w:numId w:val="7"/>
        </w:numPr>
        <w:spacing w:line="360" w:lineRule="auto"/>
        <w:ind w:firstLineChars="0"/>
        <w:jc w:val="left"/>
        <w:rPr>
          <w:rFonts w:ascii="仿宋" w:hAnsi="仿宋"/>
        </w:rPr>
      </w:pPr>
      <w:bookmarkStart w:id="607" w:name="_Toc400554088"/>
      <w:r>
        <w:rPr>
          <w:rFonts w:hint="eastAsia" w:ascii="仿宋" w:hAnsi="仿宋"/>
        </w:rPr>
        <w:t>道德风险</w:t>
      </w:r>
      <w:bookmarkEnd w:id="607"/>
    </w:p>
    <w:p>
      <w:pPr>
        <w:spacing w:line="360" w:lineRule="auto"/>
        <w:ind w:firstLine="480" w:firstLineChars="200"/>
        <w:jc w:val="left"/>
        <w:rPr>
          <w:rFonts w:ascii="仿宋" w:hAnsi="仿宋"/>
        </w:rPr>
      </w:pPr>
      <w:bookmarkStart w:id="608" w:name="_Toc400554089"/>
      <w:r>
        <w:rPr>
          <w:rFonts w:hint="eastAsia" w:ascii="仿宋" w:hAnsi="仿宋"/>
        </w:rPr>
        <w:t>来自客户与公司从业人员两个方面。客户爆仓往往从市场风险转化为信用风险，而从业人员内外勾结或不讲职业道德也会给公司造成损失</w:t>
      </w:r>
      <w:bookmarkEnd w:id="608"/>
      <w:r>
        <w:rPr>
          <w:rFonts w:hint="eastAsia" w:ascii="仿宋" w:hAnsi="仿宋"/>
        </w:rPr>
        <w:t>。</w:t>
      </w:r>
    </w:p>
    <w:p>
      <w:pPr>
        <w:spacing w:line="360" w:lineRule="auto"/>
        <w:ind w:firstLine="480" w:firstLineChars="200"/>
        <w:jc w:val="left"/>
        <w:rPr>
          <w:rFonts w:ascii="仿宋" w:hAnsi="仿宋"/>
        </w:rPr>
      </w:pPr>
    </w:p>
    <w:p>
      <w:pPr>
        <w:pStyle w:val="3"/>
        <w:numPr>
          <w:ilvl w:val="0"/>
          <w:numId w:val="6"/>
        </w:numPr>
        <w:rPr>
          <w:sz w:val="24"/>
          <w:szCs w:val="24"/>
        </w:rPr>
      </w:pPr>
      <w:bookmarkStart w:id="609" w:name="_Toc400554090"/>
      <w:bookmarkStart w:id="610" w:name="_Toc410115260"/>
      <w:bookmarkStart w:id="611" w:name="_Toc3896876"/>
      <w:r>
        <w:rPr>
          <w:rFonts w:hint="eastAsia"/>
          <w:sz w:val="24"/>
          <w:szCs w:val="24"/>
        </w:rPr>
        <w:t>期货公司风险管理的基本要求</w:t>
      </w:r>
      <w:bookmarkEnd w:id="609"/>
      <w:bookmarkEnd w:id="610"/>
      <w:bookmarkEnd w:id="611"/>
    </w:p>
    <w:p>
      <w:pPr>
        <w:spacing w:line="360" w:lineRule="auto"/>
        <w:ind w:firstLine="480" w:firstLineChars="200"/>
        <w:jc w:val="left"/>
        <w:rPr>
          <w:rFonts w:ascii="仿宋" w:hAnsi="仿宋"/>
        </w:rPr>
      </w:pPr>
      <w:bookmarkStart w:id="612" w:name="_Toc400554091"/>
      <w:r>
        <w:rPr>
          <w:rFonts w:ascii="仿宋" w:hAnsi="仿宋"/>
        </w:rPr>
        <w:t>1</w:t>
      </w:r>
      <w:r>
        <w:rPr>
          <w:rFonts w:hint="eastAsia" w:ascii="仿宋" w:hAnsi="仿宋"/>
        </w:rPr>
        <w:t>、期货公司应当按照明晰职责、强化制衡、加强风险管理的原则，建立并完善公司治理。期货公司的股东、实际控制人和其它关联人不得滥用权利，不得占用期货公司资产或者挪用客户资产，不得侵害期货公司、客户的合法权益。期货公司向股东、实际控制人及其关联人提供服务的，不得降低风险管理要求。。</w:t>
      </w:r>
      <w:bookmarkEnd w:id="612"/>
      <w:bookmarkStart w:id="613" w:name="_Toc400554092"/>
      <w:r>
        <w:rPr>
          <w:rFonts w:hint="eastAsia" w:ascii="仿宋" w:hAnsi="仿宋"/>
        </w:rPr>
        <w:t>期货公司应当建立与风险监管指标相适应的内控制度，应当建立动态的风险监控和资本补足机制，确保净资本等风险监管指标持续符合标准。</w:t>
      </w:r>
      <w:bookmarkEnd w:id="613"/>
    </w:p>
    <w:p>
      <w:pPr>
        <w:spacing w:line="360" w:lineRule="auto"/>
        <w:jc w:val="left"/>
        <w:rPr>
          <w:rFonts w:ascii="仿宋" w:hAnsi="仿宋"/>
          <w:b/>
        </w:rPr>
      </w:pPr>
      <w:bookmarkStart w:id="614" w:name="_Toc400554093"/>
      <w:r>
        <w:rPr>
          <w:rFonts w:hint="eastAsia" w:ascii="仿宋" w:hAnsi="仿宋"/>
        </w:rPr>
        <w:t>期货公司应当严格执行保证金制度，客户保证金全额存放在期货保证金账户和期货交易所专用结算账户内，并按照保证金存管监控的规定，及时向保证金存管监控中心报送真实的信息。严禁给客户透支交易，客户保证金不足时，应当及时追加保证金或者自行平仓，客户未在期货公司规定时间内及时追加保证金或者自行平仓的，期货公司应当强行平仓。</w:t>
      </w:r>
      <w:bookmarkEnd w:id="614"/>
    </w:p>
    <w:p>
      <w:pPr>
        <w:spacing w:line="360" w:lineRule="auto"/>
        <w:ind w:firstLine="480" w:firstLineChars="200"/>
        <w:jc w:val="left"/>
        <w:rPr>
          <w:rFonts w:ascii="仿宋" w:hAnsi="仿宋"/>
          <w:b/>
        </w:rPr>
      </w:pPr>
      <w:bookmarkStart w:id="615" w:name="_Toc400554094"/>
      <w:r>
        <w:rPr>
          <w:rFonts w:hint="eastAsia" w:ascii="仿宋" w:hAnsi="仿宋"/>
        </w:rPr>
        <w:t>2、期货公司应当按照规定对营业部实行统一结算、统一风险管理、统一资金调拨、统一财务管理和会计核算。期货公司应当对分支机构实行集中统一管理，不得与他人合资、合作经营管理分支机构，不得将分支机构承包、租赁或者委托给他人经营管理。分支机构经营的业务不得超出期货公司的业务范围，并应当符合中国证监会对相关业务的规定。</w:t>
      </w:r>
      <w:bookmarkEnd w:id="615"/>
    </w:p>
    <w:p>
      <w:pPr>
        <w:spacing w:line="360" w:lineRule="auto"/>
        <w:ind w:firstLine="480" w:firstLineChars="200"/>
        <w:jc w:val="left"/>
        <w:rPr>
          <w:rFonts w:ascii="仿宋" w:hAnsi="仿宋"/>
          <w:b/>
        </w:rPr>
      </w:pPr>
      <w:bookmarkStart w:id="616" w:name="_Toc400554095"/>
      <w:r>
        <w:rPr>
          <w:rFonts w:hint="eastAsia" w:ascii="仿宋" w:hAnsi="仿宋"/>
        </w:rPr>
        <w:t>3、期货公司应当建立独立的风险管理系统，规范、完善的业务操作流程和风险管理制度。</w:t>
      </w:r>
      <w:bookmarkEnd w:id="616"/>
    </w:p>
    <w:p>
      <w:pPr>
        <w:pStyle w:val="3"/>
        <w:rPr>
          <w:sz w:val="24"/>
          <w:szCs w:val="24"/>
        </w:rPr>
      </w:pPr>
      <w:bookmarkStart w:id="617" w:name="_Toc400554096"/>
      <w:bookmarkStart w:id="618" w:name="_Toc410115261"/>
      <w:bookmarkStart w:id="619" w:name="_Toc3896877"/>
      <w:r>
        <w:rPr>
          <w:rFonts w:hint="eastAsia"/>
          <w:sz w:val="24"/>
          <w:szCs w:val="24"/>
        </w:rPr>
        <w:t>四、期货公司经纪业务的风险管理</w:t>
      </w:r>
      <w:bookmarkEnd w:id="617"/>
      <w:bookmarkEnd w:id="618"/>
      <w:bookmarkEnd w:id="619"/>
    </w:p>
    <w:p>
      <w:pPr>
        <w:pStyle w:val="4"/>
        <w:numPr>
          <w:ilvl w:val="0"/>
          <w:numId w:val="8"/>
        </w:numPr>
        <w:rPr>
          <w:szCs w:val="24"/>
        </w:rPr>
      </w:pPr>
      <w:bookmarkStart w:id="620" w:name="_Toc400554097"/>
      <w:bookmarkStart w:id="621" w:name="_Toc410115262"/>
      <w:bookmarkStart w:id="622" w:name="_Toc3896878"/>
      <w:r>
        <w:rPr>
          <w:rFonts w:hint="eastAsia"/>
          <w:szCs w:val="24"/>
        </w:rPr>
        <w:t>市场开发环节</w:t>
      </w:r>
      <w:bookmarkEnd w:id="620"/>
      <w:bookmarkEnd w:id="621"/>
      <w:bookmarkEnd w:id="622"/>
    </w:p>
    <w:p>
      <w:pPr>
        <w:spacing w:line="360" w:lineRule="auto"/>
        <w:ind w:firstLine="480" w:firstLineChars="200"/>
        <w:jc w:val="left"/>
        <w:rPr>
          <w:rFonts w:ascii="仿宋" w:hAnsi="仿宋"/>
        </w:rPr>
      </w:pPr>
      <w:bookmarkStart w:id="623" w:name="_Toc400554098"/>
      <w:r>
        <w:rPr>
          <w:rFonts w:hint="eastAsia" w:ascii="仿宋" w:hAnsi="仿宋"/>
        </w:rPr>
        <w:t>1、市场开发环节的主要风险点：</w:t>
      </w:r>
      <w:bookmarkEnd w:id="623"/>
    </w:p>
    <w:p>
      <w:pPr>
        <w:spacing w:line="360" w:lineRule="auto"/>
        <w:ind w:left="480"/>
        <w:jc w:val="left"/>
        <w:rPr>
          <w:rFonts w:ascii="仿宋" w:hAnsi="仿宋"/>
        </w:rPr>
      </w:pPr>
      <w:bookmarkStart w:id="624" w:name="_Toc400554099"/>
      <w:r>
        <w:rPr>
          <w:rFonts w:hint="eastAsia" w:ascii="仿宋" w:hAnsi="仿宋"/>
        </w:rPr>
        <w:t>（1）开发的客户无从事期货交易的能力；</w:t>
      </w:r>
      <w:bookmarkEnd w:id="624"/>
    </w:p>
    <w:p>
      <w:pPr>
        <w:spacing w:line="360" w:lineRule="auto"/>
        <w:ind w:left="480"/>
        <w:jc w:val="left"/>
        <w:rPr>
          <w:rFonts w:ascii="仿宋" w:hAnsi="仿宋"/>
        </w:rPr>
      </w:pPr>
      <w:bookmarkStart w:id="625" w:name="_Toc400554100"/>
      <w:r>
        <w:rPr>
          <w:rFonts w:hint="eastAsia" w:ascii="仿宋" w:hAnsi="仿宋"/>
        </w:rPr>
        <w:t>（2）片面强调期货市场的高收益，未对客户充分进行风险揭示；</w:t>
      </w:r>
      <w:bookmarkEnd w:id="625"/>
    </w:p>
    <w:p>
      <w:pPr>
        <w:pStyle w:val="40"/>
        <w:numPr>
          <w:ilvl w:val="0"/>
          <w:numId w:val="9"/>
        </w:numPr>
        <w:spacing w:line="360" w:lineRule="auto"/>
        <w:ind w:firstLineChars="0"/>
        <w:jc w:val="left"/>
        <w:rPr>
          <w:rFonts w:ascii="仿宋" w:hAnsi="仿宋"/>
        </w:rPr>
      </w:pPr>
      <w:bookmarkStart w:id="626" w:name="_Toc400554101"/>
      <w:r>
        <w:rPr>
          <w:rFonts w:hint="eastAsia" w:ascii="仿宋" w:hAnsi="仿宋"/>
        </w:rPr>
        <w:t>向客户做出不符合规定的承诺和保证。</w:t>
      </w:r>
      <w:bookmarkEnd w:id="626"/>
    </w:p>
    <w:p>
      <w:pPr>
        <w:spacing w:line="360" w:lineRule="auto"/>
        <w:ind w:left="480"/>
        <w:jc w:val="left"/>
        <w:rPr>
          <w:rFonts w:ascii="仿宋" w:hAnsi="仿宋"/>
        </w:rPr>
      </w:pPr>
      <w:bookmarkStart w:id="627" w:name="_Toc400554102"/>
      <w:r>
        <w:rPr>
          <w:rFonts w:ascii="仿宋" w:hAnsi="仿宋"/>
        </w:rPr>
        <w:t>2</w:t>
      </w:r>
      <w:r>
        <w:rPr>
          <w:rFonts w:hint="eastAsia" w:ascii="仿宋" w:hAnsi="仿宋"/>
        </w:rPr>
        <w:t>、市场开发环节的风险管理要点：</w:t>
      </w:r>
      <w:bookmarkEnd w:id="627"/>
    </w:p>
    <w:p>
      <w:pPr>
        <w:spacing w:line="360" w:lineRule="auto"/>
        <w:ind w:left="480"/>
        <w:jc w:val="left"/>
        <w:rPr>
          <w:rFonts w:ascii="仿宋" w:hAnsi="仿宋"/>
        </w:rPr>
      </w:pPr>
      <w:bookmarkStart w:id="628" w:name="_Toc400554103"/>
      <w:r>
        <w:rPr>
          <w:rFonts w:hint="eastAsia" w:ascii="仿宋" w:hAnsi="仿宋"/>
        </w:rPr>
        <w:t>（1）拟订详细的市场开发计划书；</w:t>
      </w:r>
      <w:bookmarkEnd w:id="628"/>
    </w:p>
    <w:p>
      <w:pPr>
        <w:spacing w:line="360" w:lineRule="auto"/>
        <w:ind w:left="480"/>
        <w:jc w:val="left"/>
        <w:rPr>
          <w:rFonts w:ascii="仿宋" w:hAnsi="仿宋"/>
        </w:rPr>
      </w:pPr>
      <w:bookmarkStart w:id="629" w:name="_Toc400554104"/>
      <w:r>
        <w:rPr>
          <w:rFonts w:hint="eastAsia" w:ascii="仿宋" w:hAnsi="仿宋"/>
        </w:rPr>
        <w:t>（2）对潜在客户进行专门的期货专业知识培训；</w:t>
      </w:r>
      <w:bookmarkEnd w:id="629"/>
    </w:p>
    <w:p>
      <w:pPr>
        <w:spacing w:line="360" w:lineRule="auto"/>
        <w:ind w:firstLine="480" w:firstLineChars="200"/>
        <w:jc w:val="left"/>
        <w:rPr>
          <w:rFonts w:ascii="仿宋" w:hAnsi="仿宋"/>
        </w:rPr>
      </w:pPr>
      <w:bookmarkStart w:id="630" w:name="_Toc400554105"/>
      <w:r>
        <w:rPr>
          <w:rFonts w:hint="eastAsia" w:ascii="仿宋" w:hAnsi="仿宋"/>
        </w:rPr>
        <w:t>（3）客观地向潜在客户揭示参与期货交易的风险，进行期货投资的风险教育；</w:t>
      </w:r>
      <w:bookmarkEnd w:id="630"/>
    </w:p>
    <w:p>
      <w:pPr>
        <w:spacing w:line="360" w:lineRule="auto"/>
        <w:ind w:firstLine="480" w:firstLineChars="200"/>
        <w:jc w:val="left"/>
        <w:rPr>
          <w:rFonts w:ascii="仿宋" w:hAnsi="仿宋"/>
        </w:rPr>
      </w:pPr>
      <w:bookmarkStart w:id="631" w:name="_Toc400554106"/>
      <w:r>
        <w:rPr>
          <w:rFonts w:hint="eastAsia" w:ascii="仿宋" w:hAnsi="仿宋"/>
        </w:rPr>
        <w:t>（4）尽可能对潜在客户的资信进行了解，确定其是否具有从事期货交易的能力。</w:t>
      </w:r>
      <w:bookmarkEnd w:id="631"/>
    </w:p>
    <w:p>
      <w:pPr>
        <w:pStyle w:val="4"/>
        <w:numPr>
          <w:ilvl w:val="0"/>
          <w:numId w:val="8"/>
        </w:numPr>
      </w:pPr>
      <w:bookmarkStart w:id="632" w:name="_Toc400554107"/>
      <w:bookmarkStart w:id="633" w:name="_Toc410115263"/>
      <w:bookmarkStart w:id="634" w:name="_Toc3896879"/>
      <w:r>
        <w:rPr>
          <w:rFonts w:hint="eastAsia"/>
        </w:rPr>
        <w:t>开户环节</w:t>
      </w:r>
      <w:bookmarkEnd w:id="632"/>
      <w:bookmarkEnd w:id="633"/>
      <w:bookmarkEnd w:id="634"/>
    </w:p>
    <w:p>
      <w:pPr>
        <w:spacing w:line="360" w:lineRule="auto"/>
        <w:ind w:left="480"/>
        <w:jc w:val="left"/>
        <w:rPr>
          <w:rFonts w:ascii="仿宋" w:hAnsi="仿宋"/>
        </w:rPr>
      </w:pPr>
      <w:bookmarkStart w:id="635" w:name="_Toc400554108"/>
      <w:r>
        <w:rPr>
          <w:rFonts w:hint="eastAsia" w:ascii="仿宋" w:hAnsi="仿宋"/>
        </w:rPr>
        <w:t>1、开户环节的主要风险点：</w:t>
      </w:r>
      <w:bookmarkEnd w:id="635"/>
    </w:p>
    <w:p>
      <w:pPr>
        <w:spacing w:line="360" w:lineRule="auto"/>
        <w:ind w:left="480"/>
        <w:jc w:val="left"/>
        <w:rPr>
          <w:rFonts w:ascii="仿宋" w:hAnsi="仿宋"/>
        </w:rPr>
      </w:pPr>
      <w:bookmarkStart w:id="636" w:name="_Toc400554109"/>
      <w:r>
        <w:rPr>
          <w:rFonts w:hint="eastAsia" w:ascii="仿宋" w:hAnsi="仿宋"/>
        </w:rPr>
        <w:t>（1）客户未以真实身份开户；</w:t>
      </w:r>
      <w:bookmarkEnd w:id="636"/>
    </w:p>
    <w:p>
      <w:pPr>
        <w:spacing w:line="360" w:lineRule="auto"/>
        <w:ind w:left="480"/>
        <w:jc w:val="left"/>
        <w:rPr>
          <w:rFonts w:ascii="仿宋" w:hAnsi="仿宋"/>
        </w:rPr>
      </w:pPr>
      <w:bookmarkStart w:id="637" w:name="_Toc400554110"/>
      <w:r>
        <w:rPr>
          <w:rFonts w:hint="eastAsia" w:ascii="仿宋" w:hAnsi="仿宋"/>
        </w:rPr>
        <w:t>（2）客户不具备从事期货交易的资格；</w:t>
      </w:r>
      <w:bookmarkEnd w:id="637"/>
    </w:p>
    <w:p>
      <w:pPr>
        <w:spacing w:line="360" w:lineRule="auto"/>
        <w:ind w:left="480"/>
        <w:jc w:val="left"/>
        <w:rPr>
          <w:rFonts w:ascii="仿宋" w:hAnsi="仿宋"/>
        </w:rPr>
      </w:pPr>
      <w:bookmarkStart w:id="638" w:name="_Toc400554111"/>
      <w:r>
        <w:rPr>
          <w:rFonts w:hint="eastAsia" w:ascii="仿宋" w:hAnsi="仿宋"/>
        </w:rPr>
        <w:t>（3）合同审核不严；</w:t>
      </w:r>
      <w:bookmarkEnd w:id="638"/>
    </w:p>
    <w:p>
      <w:pPr>
        <w:pStyle w:val="40"/>
        <w:numPr>
          <w:ilvl w:val="0"/>
          <w:numId w:val="9"/>
        </w:numPr>
        <w:spacing w:line="360" w:lineRule="auto"/>
        <w:ind w:firstLineChars="0"/>
        <w:jc w:val="left"/>
        <w:rPr>
          <w:rFonts w:ascii="仿宋" w:hAnsi="仿宋"/>
        </w:rPr>
      </w:pPr>
      <w:bookmarkStart w:id="639" w:name="_Toc400554112"/>
      <w:r>
        <w:rPr>
          <w:rFonts w:hint="eastAsia" w:ascii="仿宋" w:hAnsi="仿宋"/>
        </w:rPr>
        <w:t>在办理客户编码、初始密码和银期转账时工作不细致。</w:t>
      </w:r>
      <w:bookmarkEnd w:id="639"/>
    </w:p>
    <w:p>
      <w:pPr>
        <w:ind w:firstLine="480" w:firstLineChars="200"/>
      </w:pPr>
      <w:bookmarkStart w:id="640" w:name="_Toc400554113"/>
      <w:r>
        <w:rPr>
          <w:rFonts w:hint="eastAsia"/>
        </w:rPr>
        <w:t>2、开户风险管理要点：</w:t>
      </w:r>
      <w:bookmarkEnd w:id="640"/>
    </w:p>
    <w:p>
      <w:pPr>
        <w:spacing w:line="360" w:lineRule="auto"/>
        <w:ind w:left="480"/>
        <w:jc w:val="left"/>
        <w:rPr>
          <w:rFonts w:ascii="仿宋" w:hAnsi="仿宋"/>
        </w:rPr>
      </w:pPr>
      <w:bookmarkStart w:id="641" w:name="_Toc400554114"/>
      <w:r>
        <w:rPr>
          <w:rFonts w:hint="eastAsia" w:ascii="仿宋" w:hAnsi="仿宋"/>
        </w:rPr>
        <w:t>（1）对客户资信进行审核；</w:t>
      </w:r>
      <w:bookmarkEnd w:id="641"/>
    </w:p>
    <w:p>
      <w:pPr>
        <w:spacing w:line="360" w:lineRule="auto"/>
        <w:ind w:left="480"/>
        <w:jc w:val="left"/>
        <w:rPr>
          <w:rFonts w:ascii="仿宋" w:hAnsi="仿宋"/>
        </w:rPr>
      </w:pPr>
      <w:bookmarkStart w:id="642" w:name="_Toc400554115"/>
      <w:r>
        <w:rPr>
          <w:rFonts w:hint="eastAsia" w:ascii="仿宋" w:hAnsi="仿宋"/>
        </w:rPr>
        <w:t>（2）客户的相关证件及影像采集必须真实、有效，严格执行实名制开户；</w:t>
      </w:r>
      <w:bookmarkEnd w:id="642"/>
    </w:p>
    <w:p>
      <w:pPr>
        <w:spacing w:line="360" w:lineRule="auto"/>
        <w:ind w:firstLine="480" w:firstLineChars="200"/>
        <w:jc w:val="left"/>
        <w:rPr>
          <w:rFonts w:ascii="仿宋" w:hAnsi="仿宋"/>
        </w:rPr>
      </w:pPr>
      <w:bookmarkStart w:id="643" w:name="_Toc400554116"/>
      <w:r>
        <w:rPr>
          <w:rFonts w:hint="eastAsia" w:ascii="仿宋" w:hAnsi="仿宋"/>
        </w:rPr>
        <w:t>（3）认真签订书面经纪合同，印签、签字齐全一致，特别指定事项明确，不能出现涂改、漏填和错填；</w:t>
      </w:r>
      <w:bookmarkEnd w:id="643"/>
    </w:p>
    <w:p>
      <w:pPr>
        <w:spacing w:line="360" w:lineRule="auto"/>
        <w:ind w:left="480"/>
        <w:jc w:val="left"/>
        <w:rPr>
          <w:rFonts w:ascii="仿宋" w:hAnsi="仿宋"/>
        </w:rPr>
      </w:pPr>
      <w:bookmarkStart w:id="644" w:name="_Toc400554117"/>
      <w:r>
        <w:rPr>
          <w:rFonts w:hint="eastAsia" w:ascii="仿宋" w:hAnsi="仿宋"/>
        </w:rPr>
        <w:t>（4）客户的初始密码一定要保留交付凭证；</w:t>
      </w:r>
      <w:bookmarkEnd w:id="644"/>
    </w:p>
    <w:p>
      <w:pPr>
        <w:spacing w:line="360" w:lineRule="auto"/>
        <w:ind w:left="480"/>
        <w:jc w:val="left"/>
        <w:rPr>
          <w:rFonts w:ascii="仿宋" w:hAnsi="仿宋"/>
        </w:rPr>
      </w:pPr>
      <w:bookmarkStart w:id="645" w:name="_Toc400554118"/>
      <w:r>
        <w:rPr>
          <w:rFonts w:hint="eastAsia" w:ascii="仿宋" w:hAnsi="仿宋"/>
        </w:rPr>
        <w:t>（5）期货公司印章管理制度明确、执行有效。</w:t>
      </w:r>
      <w:bookmarkEnd w:id="645"/>
    </w:p>
    <w:p>
      <w:pPr>
        <w:pStyle w:val="4"/>
        <w:rPr>
          <w:szCs w:val="24"/>
        </w:rPr>
      </w:pPr>
      <w:bookmarkStart w:id="646" w:name="_Toc400554119"/>
      <w:bookmarkStart w:id="647" w:name="_Toc410115264"/>
      <w:bookmarkStart w:id="648" w:name="_Toc3896880"/>
      <w:r>
        <w:rPr>
          <w:rFonts w:hint="eastAsia"/>
          <w:szCs w:val="24"/>
        </w:rPr>
        <w:t>（三）交易环节</w:t>
      </w:r>
      <w:bookmarkEnd w:id="646"/>
      <w:bookmarkEnd w:id="647"/>
      <w:bookmarkEnd w:id="648"/>
    </w:p>
    <w:p>
      <w:pPr>
        <w:spacing w:line="360" w:lineRule="auto"/>
        <w:ind w:left="480"/>
        <w:jc w:val="left"/>
        <w:rPr>
          <w:rFonts w:ascii="仿宋" w:hAnsi="仿宋"/>
        </w:rPr>
      </w:pPr>
      <w:bookmarkStart w:id="649" w:name="_Toc400554120"/>
      <w:r>
        <w:rPr>
          <w:rFonts w:hint="eastAsia" w:ascii="仿宋" w:hAnsi="仿宋"/>
        </w:rPr>
        <w:t>1、交易环节的主要风险点：</w:t>
      </w:r>
      <w:bookmarkEnd w:id="649"/>
      <w:bookmarkStart w:id="650" w:name="_Toc400554121"/>
    </w:p>
    <w:p>
      <w:pPr>
        <w:spacing w:line="360" w:lineRule="auto"/>
        <w:ind w:left="480"/>
        <w:jc w:val="left"/>
        <w:rPr>
          <w:rFonts w:ascii="仿宋" w:hAnsi="仿宋"/>
        </w:rPr>
      </w:pPr>
      <w:r>
        <w:rPr>
          <w:rFonts w:hint="eastAsia" w:ascii="仿宋" w:hAnsi="仿宋"/>
        </w:rPr>
        <w:t>（1）下单的差错与失误；</w:t>
      </w:r>
      <w:bookmarkEnd w:id="650"/>
    </w:p>
    <w:p>
      <w:pPr>
        <w:spacing w:line="360" w:lineRule="auto"/>
        <w:ind w:left="480"/>
        <w:jc w:val="left"/>
        <w:rPr>
          <w:rFonts w:ascii="仿宋" w:hAnsi="仿宋"/>
        </w:rPr>
      </w:pPr>
      <w:bookmarkStart w:id="651" w:name="_Toc400554122"/>
      <w:r>
        <w:rPr>
          <w:rFonts w:hint="eastAsia" w:ascii="仿宋" w:hAnsi="仿宋"/>
        </w:rPr>
        <w:t>（2）设备设施、交易网络异常或中断，导致客户无法正常交易；</w:t>
      </w:r>
      <w:bookmarkEnd w:id="651"/>
    </w:p>
    <w:p>
      <w:pPr>
        <w:spacing w:line="360" w:lineRule="auto"/>
        <w:ind w:left="480"/>
        <w:jc w:val="left"/>
        <w:rPr>
          <w:rFonts w:ascii="仿宋" w:hAnsi="仿宋"/>
        </w:rPr>
      </w:pPr>
      <w:bookmarkStart w:id="652" w:name="_Toc400554123"/>
      <w:r>
        <w:rPr>
          <w:rFonts w:hint="eastAsia" w:ascii="仿宋" w:hAnsi="仿宋"/>
        </w:rPr>
        <w:t>（3）对盘中满仓操作、透支交易等风险隐患心存侥幸，没有果断平仓；</w:t>
      </w:r>
      <w:bookmarkEnd w:id="652"/>
    </w:p>
    <w:p>
      <w:pPr>
        <w:spacing w:line="360" w:lineRule="auto"/>
        <w:ind w:left="480"/>
        <w:jc w:val="left"/>
        <w:rPr>
          <w:rFonts w:ascii="仿宋" w:hAnsi="仿宋"/>
        </w:rPr>
      </w:pPr>
      <w:bookmarkStart w:id="653" w:name="_Toc400554124"/>
      <w:r>
        <w:rPr>
          <w:rFonts w:hint="eastAsia" w:ascii="仿宋" w:hAnsi="仿宋"/>
        </w:rPr>
        <w:t>（4）在行情波动较大或处于不利状态时无法顺利平仓：</w:t>
      </w:r>
      <w:bookmarkEnd w:id="653"/>
    </w:p>
    <w:p>
      <w:pPr>
        <w:spacing w:line="360" w:lineRule="auto"/>
        <w:ind w:left="480"/>
        <w:jc w:val="left"/>
        <w:rPr>
          <w:rFonts w:ascii="仿宋" w:hAnsi="仿宋"/>
        </w:rPr>
      </w:pPr>
      <w:bookmarkStart w:id="654" w:name="_Toc400554125"/>
      <w:r>
        <w:rPr>
          <w:rFonts w:hint="eastAsia" w:ascii="仿宋" w:hAnsi="仿宋"/>
        </w:rPr>
        <w:t>（5）对客户强制平仓后沟通不够，导致客户不满使客户流失；</w:t>
      </w:r>
      <w:bookmarkEnd w:id="654"/>
    </w:p>
    <w:p>
      <w:pPr>
        <w:spacing w:line="360" w:lineRule="auto"/>
        <w:ind w:left="480"/>
        <w:jc w:val="left"/>
        <w:rPr>
          <w:rFonts w:ascii="仿宋" w:hAnsi="仿宋"/>
        </w:rPr>
      </w:pPr>
      <w:bookmarkStart w:id="655" w:name="_Toc400554126"/>
      <w:r>
        <w:rPr>
          <w:rFonts w:hint="eastAsia" w:ascii="仿宋" w:hAnsi="仿宋"/>
        </w:rPr>
        <w:t>（6）客户与公司因强行平仓而导致法律纠纷。</w:t>
      </w:r>
      <w:bookmarkEnd w:id="655"/>
    </w:p>
    <w:p>
      <w:pPr>
        <w:spacing w:line="360" w:lineRule="auto"/>
        <w:ind w:firstLine="480" w:firstLineChars="200"/>
        <w:jc w:val="left"/>
        <w:rPr>
          <w:rFonts w:ascii="仿宋" w:hAnsi="仿宋"/>
        </w:rPr>
      </w:pPr>
      <w:bookmarkStart w:id="656" w:name="_Toc400554127"/>
      <w:r>
        <w:rPr>
          <w:rFonts w:hint="eastAsia" w:ascii="仿宋" w:hAnsi="仿宋"/>
        </w:rPr>
        <w:t>2、交易环节风险管理要点：</w:t>
      </w:r>
      <w:bookmarkEnd w:id="656"/>
    </w:p>
    <w:p>
      <w:pPr>
        <w:spacing w:line="360" w:lineRule="auto"/>
        <w:ind w:left="480"/>
        <w:jc w:val="left"/>
        <w:rPr>
          <w:rFonts w:ascii="仿宋" w:hAnsi="仿宋"/>
        </w:rPr>
      </w:pPr>
      <w:bookmarkStart w:id="657" w:name="_Toc400554128"/>
      <w:r>
        <w:rPr>
          <w:rFonts w:hint="eastAsia" w:ascii="仿宋" w:hAnsi="仿宋"/>
        </w:rPr>
        <w:t>（1）在下错单的情况下，应果断以市价平仓，再查明原因，明确责任；</w:t>
      </w:r>
      <w:bookmarkEnd w:id="657"/>
    </w:p>
    <w:p>
      <w:pPr>
        <w:spacing w:line="360" w:lineRule="auto"/>
        <w:ind w:firstLine="480" w:firstLineChars="200"/>
        <w:jc w:val="left"/>
        <w:rPr>
          <w:rFonts w:ascii="仿宋" w:hAnsi="仿宋"/>
        </w:rPr>
      </w:pPr>
      <w:bookmarkStart w:id="658" w:name="_Toc400554129"/>
      <w:r>
        <w:rPr>
          <w:rFonts w:hint="eastAsia" w:ascii="仿宋" w:hAnsi="仿宋"/>
        </w:rPr>
        <w:t>（2）期货公司应安装两套不同电信运营商的宽带网络，确保网上交易安全、可靠；</w:t>
      </w:r>
      <w:bookmarkEnd w:id="658"/>
    </w:p>
    <w:p>
      <w:pPr>
        <w:spacing w:line="360" w:lineRule="auto"/>
        <w:ind w:firstLine="480" w:firstLineChars="200"/>
        <w:jc w:val="left"/>
        <w:rPr>
          <w:rFonts w:ascii="仿宋" w:hAnsi="仿宋"/>
        </w:rPr>
      </w:pPr>
      <w:bookmarkStart w:id="659" w:name="_Toc400554130"/>
      <w:r>
        <w:rPr>
          <w:rFonts w:hint="eastAsia" w:ascii="仿宋" w:hAnsi="仿宋"/>
        </w:rPr>
        <w:t>（3）交易过程中要进行风险实时监控，监控的重点是客户的资金能否支持持仓，特别是对风险账户的监控；</w:t>
      </w:r>
      <w:bookmarkEnd w:id="659"/>
    </w:p>
    <w:p>
      <w:pPr>
        <w:spacing w:line="360" w:lineRule="auto"/>
        <w:ind w:firstLine="480" w:firstLineChars="200"/>
        <w:jc w:val="left"/>
        <w:rPr>
          <w:rFonts w:ascii="仿宋" w:hAnsi="仿宋"/>
        </w:rPr>
      </w:pPr>
      <w:bookmarkStart w:id="660" w:name="_Toc400554131"/>
      <w:r>
        <w:rPr>
          <w:rFonts w:hint="eastAsia" w:ascii="仿宋" w:hAnsi="仿宋"/>
        </w:rPr>
        <w:t>（4）当客户处于追加保证金状态或强行平仓状态时，要及时通知客户；</w:t>
      </w:r>
      <w:bookmarkEnd w:id="660"/>
    </w:p>
    <w:p>
      <w:pPr>
        <w:spacing w:line="360" w:lineRule="auto"/>
        <w:ind w:firstLine="480" w:firstLineChars="200"/>
        <w:jc w:val="left"/>
        <w:rPr>
          <w:rFonts w:ascii="仿宋" w:hAnsi="仿宋"/>
        </w:rPr>
      </w:pPr>
      <w:bookmarkStart w:id="661" w:name="_Toc400554132"/>
      <w:r>
        <w:rPr>
          <w:rFonts w:hint="eastAsia" w:ascii="仿宋" w:hAnsi="仿宋"/>
        </w:rPr>
        <w:t>（5）若客户保证金比率低于规定比例，必须坚决平仓，同时，要及时与客户进行沟通，进行必要的解释与说明；</w:t>
      </w:r>
      <w:bookmarkEnd w:id="661"/>
    </w:p>
    <w:p>
      <w:pPr>
        <w:spacing w:line="360" w:lineRule="auto"/>
        <w:ind w:firstLine="480" w:firstLineChars="200"/>
        <w:jc w:val="left"/>
        <w:rPr>
          <w:rFonts w:ascii="仿宋" w:hAnsi="仿宋"/>
        </w:rPr>
      </w:pPr>
      <w:bookmarkStart w:id="662" w:name="_Toc400554133"/>
      <w:r>
        <w:rPr>
          <w:rFonts w:hint="eastAsia" w:ascii="仿宋" w:hAnsi="仿宋"/>
        </w:rPr>
        <w:t>（6）防止虚假仓单及交割违约风险。</w:t>
      </w:r>
      <w:bookmarkEnd w:id="662"/>
    </w:p>
    <w:p>
      <w:pPr>
        <w:pStyle w:val="4"/>
        <w:rPr>
          <w:szCs w:val="24"/>
        </w:rPr>
      </w:pPr>
      <w:bookmarkStart w:id="663" w:name="_Toc400554134"/>
      <w:bookmarkStart w:id="664" w:name="_Toc410115265"/>
      <w:bookmarkStart w:id="665" w:name="_Toc3896881"/>
      <w:r>
        <w:rPr>
          <w:rFonts w:hint="eastAsia"/>
          <w:szCs w:val="24"/>
        </w:rPr>
        <w:t>（四）结算环节</w:t>
      </w:r>
      <w:bookmarkEnd w:id="663"/>
      <w:bookmarkEnd w:id="664"/>
      <w:bookmarkEnd w:id="665"/>
    </w:p>
    <w:p>
      <w:pPr>
        <w:spacing w:line="360" w:lineRule="auto"/>
        <w:ind w:left="480"/>
        <w:jc w:val="left"/>
        <w:rPr>
          <w:rFonts w:ascii="仿宋" w:hAnsi="仿宋"/>
        </w:rPr>
      </w:pPr>
      <w:bookmarkStart w:id="666" w:name="_Toc400554135"/>
      <w:r>
        <w:rPr>
          <w:rFonts w:hint="eastAsia" w:ascii="仿宋" w:hAnsi="仿宋"/>
        </w:rPr>
        <w:t>1、结算环节的主要风险点：</w:t>
      </w:r>
      <w:bookmarkEnd w:id="666"/>
    </w:p>
    <w:p>
      <w:pPr>
        <w:spacing w:line="360" w:lineRule="auto"/>
        <w:ind w:left="480"/>
        <w:jc w:val="left"/>
        <w:rPr>
          <w:rFonts w:ascii="仿宋" w:hAnsi="仿宋"/>
        </w:rPr>
      </w:pPr>
      <w:bookmarkStart w:id="667" w:name="_Toc400554136"/>
      <w:r>
        <w:rPr>
          <w:rFonts w:hint="eastAsia" w:ascii="仿宋" w:hAnsi="仿宋"/>
        </w:rPr>
        <w:t>（1）客户保证金比率设置过低，行情波动较大时客户保证金账户出现穿仓；</w:t>
      </w:r>
      <w:bookmarkEnd w:id="667"/>
    </w:p>
    <w:p>
      <w:pPr>
        <w:spacing w:line="360" w:lineRule="auto"/>
        <w:ind w:left="480"/>
        <w:jc w:val="left"/>
        <w:rPr>
          <w:rFonts w:ascii="仿宋" w:hAnsi="仿宋"/>
        </w:rPr>
      </w:pPr>
      <w:bookmarkStart w:id="668" w:name="_Toc400554137"/>
      <w:r>
        <w:rPr>
          <w:rFonts w:hint="eastAsia" w:ascii="仿宋" w:hAnsi="仿宋"/>
        </w:rPr>
        <w:t>（2）结算数据与交易所结算数据不一致；</w:t>
      </w:r>
      <w:bookmarkEnd w:id="668"/>
    </w:p>
    <w:p>
      <w:pPr>
        <w:spacing w:line="360" w:lineRule="auto"/>
        <w:ind w:left="480"/>
        <w:jc w:val="left"/>
        <w:rPr>
          <w:rFonts w:ascii="仿宋" w:hAnsi="仿宋"/>
        </w:rPr>
      </w:pPr>
      <w:bookmarkStart w:id="669" w:name="_Toc400554138"/>
      <w:r>
        <w:rPr>
          <w:rFonts w:hint="eastAsia" w:ascii="仿宋" w:hAnsi="仿宋"/>
        </w:rPr>
        <w:t>（3）客户出金或入金出现风险隐患；</w:t>
      </w:r>
      <w:bookmarkEnd w:id="669"/>
    </w:p>
    <w:p>
      <w:pPr>
        <w:spacing w:line="360" w:lineRule="auto"/>
        <w:ind w:left="480"/>
        <w:jc w:val="left"/>
        <w:rPr>
          <w:rFonts w:ascii="仿宋" w:hAnsi="仿宋"/>
        </w:rPr>
      </w:pPr>
      <w:bookmarkStart w:id="670" w:name="_Toc400554139"/>
      <w:r>
        <w:rPr>
          <w:rFonts w:hint="eastAsia" w:ascii="仿宋" w:hAnsi="仿宋"/>
        </w:rPr>
        <w:t>（4）单人单岗，缺乏监督、校验机制；</w:t>
      </w:r>
      <w:bookmarkEnd w:id="670"/>
    </w:p>
    <w:p>
      <w:pPr>
        <w:pStyle w:val="40"/>
        <w:numPr>
          <w:ilvl w:val="0"/>
          <w:numId w:val="9"/>
        </w:numPr>
        <w:spacing w:line="360" w:lineRule="auto"/>
        <w:ind w:firstLineChars="0"/>
        <w:jc w:val="left"/>
        <w:rPr>
          <w:rFonts w:ascii="仿宋" w:hAnsi="仿宋"/>
        </w:rPr>
      </w:pPr>
      <w:bookmarkStart w:id="671" w:name="_Toc400554140"/>
      <w:r>
        <w:rPr>
          <w:rFonts w:hint="eastAsia" w:ascii="仿宋" w:hAnsi="仿宋"/>
        </w:rPr>
        <w:t>结算数据及其备份的遗失和损失。</w:t>
      </w:r>
      <w:bookmarkEnd w:id="671"/>
    </w:p>
    <w:p>
      <w:pPr>
        <w:spacing w:line="360" w:lineRule="auto"/>
        <w:ind w:left="480"/>
        <w:jc w:val="left"/>
        <w:rPr>
          <w:rFonts w:ascii="仿宋" w:hAnsi="仿宋"/>
        </w:rPr>
      </w:pPr>
      <w:bookmarkStart w:id="672" w:name="_Toc400554141"/>
      <w:r>
        <w:rPr>
          <w:rFonts w:hint="eastAsia" w:ascii="仿宋" w:hAnsi="仿宋"/>
        </w:rPr>
        <w:t>2、结算环节的风险管理要点：</w:t>
      </w:r>
      <w:bookmarkEnd w:id="672"/>
    </w:p>
    <w:p>
      <w:pPr>
        <w:spacing w:line="360" w:lineRule="auto"/>
        <w:ind w:left="480"/>
        <w:jc w:val="left"/>
        <w:rPr>
          <w:rFonts w:ascii="仿宋" w:hAnsi="仿宋"/>
        </w:rPr>
      </w:pPr>
      <w:bookmarkStart w:id="673" w:name="_Toc400554142"/>
      <w:r>
        <w:rPr>
          <w:rFonts w:hint="eastAsia" w:ascii="仿宋" w:hAnsi="仿宋"/>
        </w:rPr>
        <w:t>（1）根据行情波动和市场状况及时调整保证金比率；</w:t>
      </w:r>
      <w:bookmarkEnd w:id="673"/>
      <w:bookmarkStart w:id="674" w:name="_Toc400554143"/>
    </w:p>
    <w:p>
      <w:pPr>
        <w:spacing w:line="360" w:lineRule="auto"/>
        <w:ind w:left="480"/>
        <w:jc w:val="left"/>
        <w:rPr>
          <w:rFonts w:ascii="仿宋" w:hAnsi="仿宋"/>
        </w:rPr>
      </w:pPr>
      <w:r>
        <w:rPr>
          <w:rFonts w:hint="eastAsia"/>
        </w:rPr>
        <w:t>（2）每日与交易所结算数据严格核对，务必准确一致；</w:t>
      </w:r>
      <w:bookmarkEnd w:id="674"/>
    </w:p>
    <w:p>
      <w:pPr>
        <w:spacing w:line="360" w:lineRule="auto"/>
        <w:ind w:left="480"/>
        <w:jc w:val="left"/>
        <w:rPr>
          <w:rFonts w:ascii="仿宋" w:hAnsi="仿宋"/>
        </w:rPr>
      </w:pPr>
      <w:bookmarkStart w:id="675" w:name="_Toc400554144"/>
      <w:r>
        <w:rPr>
          <w:rFonts w:hint="eastAsia" w:ascii="仿宋" w:hAnsi="仿宋"/>
        </w:rPr>
        <w:t>（3）做好财务、结算对账工作；</w:t>
      </w:r>
      <w:bookmarkEnd w:id="675"/>
    </w:p>
    <w:p>
      <w:pPr>
        <w:spacing w:line="360" w:lineRule="auto"/>
        <w:ind w:left="480"/>
        <w:jc w:val="left"/>
        <w:rPr>
          <w:rFonts w:ascii="仿宋" w:hAnsi="仿宋"/>
        </w:rPr>
      </w:pPr>
      <w:bookmarkStart w:id="676" w:name="_Toc400554145"/>
      <w:r>
        <w:rPr>
          <w:rFonts w:hint="eastAsia" w:ascii="仿宋" w:hAnsi="仿宋"/>
        </w:rPr>
        <w:t>（4）加强岗位间互相审核、监督，人员定期轮岗；</w:t>
      </w:r>
      <w:bookmarkEnd w:id="676"/>
    </w:p>
    <w:p>
      <w:pPr>
        <w:spacing w:line="360" w:lineRule="auto"/>
        <w:ind w:left="480"/>
        <w:jc w:val="left"/>
        <w:rPr>
          <w:rFonts w:ascii="仿宋" w:hAnsi="仿宋"/>
        </w:rPr>
      </w:pPr>
      <w:bookmarkStart w:id="677" w:name="_Toc400554146"/>
      <w:r>
        <w:rPr>
          <w:rFonts w:hint="eastAsia" w:ascii="仿宋" w:hAnsi="仿宋"/>
        </w:rPr>
        <w:t>（5）做好数据备份和保管工作。</w:t>
      </w:r>
      <w:bookmarkEnd w:id="677"/>
    </w:p>
    <w:p>
      <w:pPr>
        <w:pStyle w:val="4"/>
        <w:rPr>
          <w:szCs w:val="24"/>
        </w:rPr>
      </w:pPr>
      <w:bookmarkStart w:id="678" w:name="_Toc400554147"/>
      <w:bookmarkStart w:id="679" w:name="_Toc410115266"/>
      <w:bookmarkStart w:id="680" w:name="_Toc3896882"/>
      <w:r>
        <w:rPr>
          <w:rFonts w:hint="eastAsia"/>
          <w:szCs w:val="24"/>
        </w:rPr>
        <w:t>（五）财务环节</w:t>
      </w:r>
      <w:bookmarkEnd w:id="678"/>
      <w:bookmarkEnd w:id="679"/>
      <w:bookmarkEnd w:id="680"/>
    </w:p>
    <w:p>
      <w:pPr>
        <w:spacing w:line="360" w:lineRule="auto"/>
        <w:ind w:left="480"/>
        <w:jc w:val="left"/>
        <w:rPr>
          <w:rFonts w:ascii="仿宋" w:hAnsi="仿宋"/>
        </w:rPr>
      </w:pPr>
      <w:bookmarkStart w:id="681" w:name="_Toc400554148"/>
      <w:r>
        <w:rPr>
          <w:rFonts w:hint="eastAsia" w:ascii="仿宋" w:hAnsi="仿宋"/>
        </w:rPr>
        <w:t>1、财务环节的主要风险点：</w:t>
      </w:r>
      <w:bookmarkEnd w:id="681"/>
    </w:p>
    <w:p>
      <w:pPr>
        <w:spacing w:line="360" w:lineRule="auto"/>
        <w:ind w:left="480"/>
        <w:jc w:val="left"/>
        <w:rPr>
          <w:rFonts w:ascii="仿宋" w:hAnsi="仿宋"/>
        </w:rPr>
      </w:pPr>
      <w:bookmarkStart w:id="682" w:name="_Toc400554149"/>
      <w:r>
        <w:rPr>
          <w:rFonts w:hint="eastAsia" w:ascii="仿宋" w:hAnsi="仿宋"/>
        </w:rPr>
        <w:t>（1）客户资金来源不合法合规；</w:t>
      </w:r>
      <w:bookmarkEnd w:id="682"/>
    </w:p>
    <w:p>
      <w:pPr>
        <w:spacing w:line="360" w:lineRule="auto"/>
        <w:ind w:left="480"/>
        <w:jc w:val="left"/>
        <w:rPr>
          <w:rFonts w:ascii="仿宋" w:hAnsi="仿宋"/>
        </w:rPr>
      </w:pPr>
      <w:bookmarkStart w:id="683" w:name="_Toc400554150"/>
      <w:r>
        <w:rPr>
          <w:rFonts w:hint="eastAsia" w:ascii="仿宋" w:hAnsi="仿宋"/>
        </w:rPr>
        <w:t>（2）入金和出金与其它部门缺乏衔接；</w:t>
      </w:r>
      <w:bookmarkEnd w:id="683"/>
    </w:p>
    <w:p>
      <w:pPr>
        <w:spacing w:line="360" w:lineRule="auto"/>
        <w:ind w:left="480"/>
        <w:jc w:val="left"/>
        <w:rPr>
          <w:rFonts w:ascii="仿宋" w:hAnsi="仿宋"/>
        </w:rPr>
      </w:pPr>
      <w:bookmarkStart w:id="684" w:name="_Toc400554151"/>
      <w:r>
        <w:rPr>
          <w:rFonts w:hint="eastAsia" w:ascii="仿宋" w:hAnsi="仿宋"/>
        </w:rPr>
        <w:t>（3）客户保证金与资本金被挪用；</w:t>
      </w:r>
      <w:bookmarkEnd w:id="684"/>
    </w:p>
    <w:p>
      <w:pPr>
        <w:spacing w:line="360" w:lineRule="auto"/>
        <w:ind w:left="480"/>
        <w:jc w:val="left"/>
        <w:rPr>
          <w:rFonts w:ascii="仿宋" w:hAnsi="仿宋"/>
        </w:rPr>
      </w:pPr>
      <w:bookmarkStart w:id="685" w:name="_Toc400554152"/>
      <w:r>
        <w:rPr>
          <w:rFonts w:hint="eastAsia" w:ascii="仿宋" w:hAnsi="仿宋"/>
        </w:rPr>
        <w:t>（4）财务账簿与结算数据不一致；</w:t>
      </w:r>
      <w:bookmarkEnd w:id="685"/>
    </w:p>
    <w:p>
      <w:pPr>
        <w:pStyle w:val="40"/>
        <w:numPr>
          <w:ilvl w:val="0"/>
          <w:numId w:val="9"/>
        </w:numPr>
        <w:spacing w:line="360" w:lineRule="auto"/>
        <w:ind w:firstLineChars="0"/>
        <w:jc w:val="left"/>
        <w:rPr>
          <w:rFonts w:ascii="仿宋" w:hAnsi="仿宋"/>
        </w:rPr>
      </w:pPr>
      <w:bookmarkStart w:id="686" w:name="_Toc400554153"/>
      <w:r>
        <w:rPr>
          <w:rFonts w:hint="eastAsia" w:ascii="仿宋" w:hAnsi="仿宋"/>
        </w:rPr>
        <w:t>财务系统内部管理缺陷和漏洞可能导致资金风险和法律风险。</w:t>
      </w:r>
      <w:bookmarkEnd w:id="686"/>
    </w:p>
    <w:p>
      <w:pPr>
        <w:spacing w:line="360" w:lineRule="auto"/>
        <w:ind w:left="480"/>
        <w:jc w:val="left"/>
        <w:rPr>
          <w:rFonts w:ascii="仿宋" w:hAnsi="仿宋"/>
        </w:rPr>
      </w:pPr>
      <w:bookmarkStart w:id="687" w:name="_Toc400554154"/>
      <w:r>
        <w:rPr>
          <w:rFonts w:hint="eastAsia" w:ascii="仿宋" w:hAnsi="仿宋"/>
        </w:rPr>
        <w:t>2、财务环节风险管理要点：</w:t>
      </w:r>
      <w:bookmarkEnd w:id="687"/>
    </w:p>
    <w:p>
      <w:pPr>
        <w:spacing w:line="360" w:lineRule="auto"/>
        <w:ind w:left="480"/>
        <w:jc w:val="left"/>
        <w:rPr>
          <w:rFonts w:ascii="仿宋" w:hAnsi="仿宋"/>
        </w:rPr>
      </w:pPr>
      <w:bookmarkStart w:id="688" w:name="_Toc400554155"/>
      <w:r>
        <w:rPr>
          <w:rFonts w:hint="eastAsia" w:ascii="仿宋" w:hAnsi="仿宋"/>
        </w:rPr>
        <w:t>（1）对入金要严格审核，并尽可能了解资金来源；</w:t>
      </w:r>
      <w:bookmarkEnd w:id="688"/>
    </w:p>
    <w:p>
      <w:pPr>
        <w:spacing w:line="360" w:lineRule="auto"/>
        <w:ind w:left="480"/>
        <w:jc w:val="left"/>
        <w:rPr>
          <w:rFonts w:ascii="仿宋" w:hAnsi="仿宋"/>
        </w:rPr>
      </w:pPr>
      <w:bookmarkStart w:id="689" w:name="_Toc400554156"/>
      <w:r>
        <w:rPr>
          <w:rFonts w:hint="eastAsia" w:ascii="仿宋" w:hAnsi="仿宋"/>
        </w:rPr>
        <w:t>（2）不允许在途资金下单；</w:t>
      </w:r>
      <w:bookmarkEnd w:id="689"/>
    </w:p>
    <w:p>
      <w:pPr>
        <w:spacing w:line="360" w:lineRule="auto"/>
        <w:ind w:left="480"/>
        <w:jc w:val="left"/>
        <w:rPr>
          <w:rFonts w:ascii="仿宋" w:hAnsi="仿宋"/>
        </w:rPr>
      </w:pPr>
      <w:bookmarkStart w:id="690" w:name="_Toc400554157"/>
      <w:r>
        <w:rPr>
          <w:rFonts w:hint="eastAsia" w:ascii="仿宋" w:hAnsi="仿宋"/>
        </w:rPr>
        <w:t>（3）严格审核出金；</w:t>
      </w:r>
      <w:bookmarkEnd w:id="690"/>
    </w:p>
    <w:p>
      <w:pPr>
        <w:spacing w:line="360" w:lineRule="auto"/>
        <w:ind w:left="480"/>
        <w:jc w:val="left"/>
        <w:rPr>
          <w:rFonts w:ascii="仿宋" w:hAnsi="仿宋"/>
        </w:rPr>
      </w:pPr>
      <w:bookmarkStart w:id="691" w:name="_Toc400554158"/>
      <w:r>
        <w:rPr>
          <w:rFonts w:hint="eastAsia" w:ascii="仿宋" w:hAnsi="仿宋"/>
        </w:rPr>
        <w:t>（4）客户保证金必须与自有资金分开、单独开户分别管理；</w:t>
      </w:r>
      <w:bookmarkEnd w:id="691"/>
    </w:p>
    <w:p>
      <w:pPr>
        <w:spacing w:line="360" w:lineRule="auto"/>
        <w:ind w:left="480"/>
        <w:jc w:val="left"/>
        <w:rPr>
          <w:rFonts w:ascii="仿宋" w:hAnsi="仿宋"/>
        </w:rPr>
      </w:pPr>
      <w:bookmarkStart w:id="692" w:name="_Toc400554159"/>
      <w:r>
        <w:rPr>
          <w:rFonts w:hint="eastAsia" w:ascii="仿宋" w:hAnsi="仿宋"/>
        </w:rPr>
        <w:t>（5）严禁挪用客户保证金及公司资本金；</w:t>
      </w:r>
      <w:bookmarkEnd w:id="692"/>
    </w:p>
    <w:p>
      <w:pPr>
        <w:spacing w:line="360" w:lineRule="auto"/>
        <w:ind w:left="480"/>
        <w:jc w:val="left"/>
        <w:rPr>
          <w:rFonts w:ascii="仿宋" w:hAnsi="仿宋"/>
        </w:rPr>
      </w:pPr>
      <w:bookmarkStart w:id="693" w:name="_Toc400554160"/>
      <w:r>
        <w:rPr>
          <w:rFonts w:hint="eastAsia" w:ascii="仿宋" w:hAnsi="仿宋"/>
        </w:rPr>
        <w:t>（6）核对银期转账余额；</w:t>
      </w:r>
      <w:bookmarkEnd w:id="693"/>
    </w:p>
    <w:p>
      <w:pPr>
        <w:spacing w:line="360" w:lineRule="auto"/>
        <w:ind w:left="480"/>
        <w:jc w:val="left"/>
        <w:rPr>
          <w:rFonts w:ascii="仿宋" w:hAnsi="仿宋"/>
        </w:rPr>
      </w:pPr>
      <w:bookmarkStart w:id="694" w:name="_Toc400554161"/>
      <w:r>
        <w:rPr>
          <w:rFonts w:hint="eastAsia" w:ascii="仿宋" w:hAnsi="仿宋"/>
        </w:rPr>
        <w:t>（7）及时与结算部门核对财务数据。</w:t>
      </w:r>
      <w:bookmarkEnd w:id="694"/>
    </w:p>
    <w:p>
      <w:pPr>
        <w:pStyle w:val="4"/>
        <w:rPr>
          <w:szCs w:val="24"/>
        </w:rPr>
      </w:pPr>
      <w:bookmarkStart w:id="695" w:name="_Toc400554162"/>
      <w:bookmarkStart w:id="696" w:name="_Toc410115267"/>
      <w:bookmarkStart w:id="697" w:name="_Toc3896883"/>
      <w:r>
        <w:rPr>
          <w:rFonts w:hint="eastAsia"/>
          <w:szCs w:val="24"/>
        </w:rPr>
        <w:t>（六）技术环节</w:t>
      </w:r>
      <w:bookmarkEnd w:id="695"/>
      <w:bookmarkEnd w:id="696"/>
      <w:bookmarkEnd w:id="697"/>
    </w:p>
    <w:p>
      <w:pPr>
        <w:spacing w:line="360" w:lineRule="auto"/>
        <w:ind w:left="480"/>
        <w:jc w:val="left"/>
        <w:rPr>
          <w:rFonts w:ascii="仿宋" w:hAnsi="仿宋"/>
        </w:rPr>
      </w:pPr>
      <w:bookmarkStart w:id="698" w:name="_Toc400554163"/>
      <w:r>
        <w:rPr>
          <w:rFonts w:hint="eastAsia" w:ascii="仿宋" w:hAnsi="仿宋"/>
        </w:rPr>
        <w:t>1、技术环节的主要风险点：</w:t>
      </w:r>
      <w:bookmarkEnd w:id="698"/>
    </w:p>
    <w:p>
      <w:pPr>
        <w:spacing w:line="360" w:lineRule="auto"/>
        <w:ind w:left="480"/>
        <w:jc w:val="left"/>
        <w:rPr>
          <w:rFonts w:ascii="仿宋" w:hAnsi="仿宋"/>
        </w:rPr>
      </w:pPr>
      <w:bookmarkStart w:id="699" w:name="_Toc400554164"/>
      <w:r>
        <w:rPr>
          <w:rFonts w:hint="eastAsia" w:ascii="仿宋" w:hAnsi="仿宋"/>
        </w:rPr>
        <w:t>（1）电脑系统、网络系统因硬件或软件而出现故障；</w:t>
      </w:r>
      <w:bookmarkEnd w:id="699"/>
    </w:p>
    <w:p>
      <w:pPr>
        <w:spacing w:line="360" w:lineRule="auto"/>
        <w:ind w:left="480"/>
        <w:jc w:val="left"/>
        <w:rPr>
          <w:rFonts w:ascii="仿宋" w:hAnsi="仿宋"/>
        </w:rPr>
      </w:pPr>
      <w:bookmarkStart w:id="700" w:name="_Toc400554165"/>
      <w:r>
        <w:rPr>
          <w:rFonts w:hint="eastAsia" w:ascii="仿宋" w:hAnsi="仿宋"/>
        </w:rPr>
        <w:t>（2）业务部门的电脑系统出现故障；</w:t>
      </w:r>
      <w:bookmarkEnd w:id="700"/>
    </w:p>
    <w:p>
      <w:pPr>
        <w:spacing w:line="360" w:lineRule="auto"/>
        <w:ind w:firstLine="480" w:firstLineChars="200"/>
        <w:jc w:val="left"/>
        <w:rPr>
          <w:rFonts w:ascii="仿宋" w:hAnsi="仿宋"/>
        </w:rPr>
      </w:pPr>
      <w:bookmarkStart w:id="701" w:name="_Toc400554166"/>
      <w:r>
        <w:rPr>
          <w:rFonts w:hint="eastAsia" w:ascii="仿宋" w:hAnsi="仿宋"/>
        </w:rPr>
        <w:t>（3）交易业务网与内部办公网没有严格隔离，由于黑客入侵或内部网络泄密导致公司或客户重要资料的泄露；</w:t>
      </w:r>
      <w:bookmarkEnd w:id="701"/>
    </w:p>
    <w:p>
      <w:pPr>
        <w:pStyle w:val="40"/>
        <w:numPr>
          <w:ilvl w:val="0"/>
          <w:numId w:val="10"/>
        </w:numPr>
        <w:spacing w:line="360" w:lineRule="auto"/>
        <w:ind w:firstLineChars="0"/>
        <w:jc w:val="left"/>
        <w:rPr>
          <w:rFonts w:ascii="仿宋" w:hAnsi="仿宋"/>
        </w:rPr>
      </w:pPr>
      <w:bookmarkStart w:id="702" w:name="_Toc400554167"/>
      <w:r>
        <w:rPr>
          <w:rFonts w:hint="eastAsia" w:ascii="仿宋" w:hAnsi="仿宋"/>
        </w:rPr>
        <w:t>没有灾难备份系统，事故备份不完善，相关备份数据的遗失。</w:t>
      </w:r>
      <w:bookmarkEnd w:id="702"/>
    </w:p>
    <w:p>
      <w:pPr>
        <w:spacing w:line="360" w:lineRule="auto"/>
        <w:ind w:firstLine="480" w:firstLineChars="200"/>
        <w:jc w:val="left"/>
        <w:rPr>
          <w:rFonts w:ascii="仿宋" w:hAnsi="仿宋"/>
        </w:rPr>
      </w:pPr>
    </w:p>
    <w:p>
      <w:pPr>
        <w:pStyle w:val="40"/>
        <w:numPr>
          <w:ilvl w:val="0"/>
          <w:numId w:val="11"/>
        </w:numPr>
        <w:spacing w:line="360" w:lineRule="auto"/>
        <w:ind w:firstLineChars="0"/>
        <w:jc w:val="left"/>
        <w:rPr>
          <w:rFonts w:ascii="仿宋" w:hAnsi="仿宋"/>
        </w:rPr>
      </w:pPr>
      <w:bookmarkStart w:id="703" w:name="_Toc400554168"/>
      <w:r>
        <w:rPr>
          <w:rFonts w:hint="eastAsia" w:ascii="仿宋" w:hAnsi="仿宋"/>
        </w:rPr>
        <w:t>技术环节风险管理要点：</w:t>
      </w:r>
      <w:bookmarkEnd w:id="703"/>
    </w:p>
    <w:p>
      <w:pPr>
        <w:spacing w:line="360" w:lineRule="auto"/>
        <w:ind w:left="480"/>
        <w:jc w:val="left"/>
        <w:rPr>
          <w:rFonts w:ascii="仿宋" w:hAnsi="仿宋"/>
        </w:rPr>
      </w:pPr>
      <w:bookmarkStart w:id="704" w:name="_Toc400554169"/>
      <w:r>
        <w:rPr>
          <w:rFonts w:hint="eastAsia" w:ascii="仿宋" w:hAnsi="仿宋"/>
        </w:rPr>
        <w:t>（1）定期对全公司的电脑系统进行检查、维护和升级；</w:t>
      </w:r>
      <w:bookmarkEnd w:id="704"/>
    </w:p>
    <w:p>
      <w:pPr>
        <w:spacing w:line="360" w:lineRule="auto"/>
        <w:ind w:left="480"/>
        <w:jc w:val="left"/>
        <w:rPr>
          <w:rFonts w:ascii="仿宋" w:hAnsi="仿宋"/>
        </w:rPr>
      </w:pPr>
      <w:bookmarkStart w:id="705" w:name="_Toc400554170"/>
      <w:r>
        <w:rPr>
          <w:rFonts w:hint="eastAsia" w:ascii="仿宋" w:hAnsi="仿宋"/>
        </w:rPr>
        <w:t>（2）定期对全公司的网络系统进行检查、维护和升级；</w:t>
      </w:r>
      <w:bookmarkEnd w:id="705"/>
    </w:p>
    <w:p>
      <w:pPr>
        <w:spacing w:line="360" w:lineRule="auto"/>
        <w:ind w:left="480"/>
        <w:jc w:val="left"/>
        <w:rPr>
          <w:rFonts w:ascii="仿宋" w:hAnsi="仿宋"/>
        </w:rPr>
      </w:pPr>
      <w:bookmarkStart w:id="706" w:name="_Toc400554171"/>
      <w:r>
        <w:rPr>
          <w:rFonts w:hint="eastAsia" w:ascii="仿宋" w:hAnsi="仿宋"/>
        </w:rPr>
        <w:t>（3）网上交易系统采取有效的身份认证及访问控制措施；</w:t>
      </w:r>
      <w:bookmarkEnd w:id="706"/>
    </w:p>
    <w:p>
      <w:pPr>
        <w:spacing w:line="360" w:lineRule="auto"/>
        <w:ind w:left="480"/>
        <w:jc w:val="left"/>
        <w:rPr>
          <w:rFonts w:ascii="仿宋" w:hAnsi="仿宋"/>
        </w:rPr>
      </w:pPr>
      <w:bookmarkStart w:id="707" w:name="_Toc400554172"/>
      <w:r>
        <w:rPr>
          <w:rFonts w:hint="eastAsia" w:ascii="仿宋" w:hAnsi="仿宋"/>
        </w:rPr>
        <w:t>（4）构建有力的公司网络防火墙、入侵检测等措施，保障网络安全；</w:t>
      </w:r>
      <w:bookmarkEnd w:id="707"/>
    </w:p>
    <w:p>
      <w:pPr>
        <w:spacing w:line="360" w:lineRule="auto"/>
        <w:ind w:firstLine="480" w:firstLineChars="200"/>
        <w:jc w:val="left"/>
        <w:rPr>
          <w:rFonts w:ascii="仿宋" w:hAnsi="仿宋"/>
        </w:rPr>
      </w:pPr>
      <w:bookmarkStart w:id="708" w:name="_Toc400554173"/>
      <w:r>
        <w:rPr>
          <w:rFonts w:hint="eastAsia" w:ascii="仿宋" w:hAnsi="仿宋"/>
        </w:rPr>
        <w:t>（5）对于网络中断、委托中断、客户数据的丢失、银期转账故障、交易服务器故障以及出现供电中断、火灾、抢劫等紧急情况，有灾难防范和应急处理预案，建立应急演戏机制，确保及时有效地处理各种故障和危机；</w:t>
      </w:r>
      <w:bookmarkEnd w:id="708"/>
    </w:p>
    <w:p>
      <w:pPr>
        <w:spacing w:line="360" w:lineRule="auto"/>
        <w:ind w:left="480"/>
        <w:jc w:val="left"/>
        <w:rPr>
          <w:rFonts w:ascii="仿宋" w:hAnsi="仿宋"/>
        </w:rPr>
      </w:pPr>
      <w:bookmarkStart w:id="709" w:name="_Toc400554174"/>
      <w:r>
        <w:rPr>
          <w:rFonts w:hint="eastAsia" w:ascii="仿宋" w:hAnsi="仿宋"/>
        </w:rPr>
        <w:t>（6）对主要电脑设备和网络设备进行的维护和更新；</w:t>
      </w:r>
      <w:bookmarkEnd w:id="709"/>
    </w:p>
    <w:p>
      <w:pPr>
        <w:spacing w:line="360" w:lineRule="auto"/>
        <w:ind w:left="480"/>
        <w:jc w:val="left"/>
        <w:rPr>
          <w:rFonts w:ascii="仿宋" w:hAnsi="仿宋"/>
        </w:rPr>
      </w:pPr>
      <w:bookmarkStart w:id="710" w:name="_Toc400554175"/>
      <w:r>
        <w:rPr>
          <w:rFonts w:hint="eastAsia" w:ascii="仿宋" w:hAnsi="仿宋"/>
        </w:rPr>
        <w:t>（7）对公司重要的数据进行多地点和多介质的备份。</w:t>
      </w:r>
      <w:bookmarkEnd w:id="710"/>
    </w:p>
    <w:p>
      <w:pPr>
        <w:spacing w:line="360" w:lineRule="auto"/>
        <w:ind w:left="480"/>
        <w:jc w:val="left"/>
        <w:rPr>
          <w:rFonts w:ascii="仿宋" w:hAnsi="仿宋"/>
        </w:rPr>
      </w:pPr>
    </w:p>
    <w:p>
      <w:pPr>
        <w:pStyle w:val="3"/>
        <w:rPr>
          <w:sz w:val="24"/>
          <w:szCs w:val="24"/>
        </w:rPr>
      </w:pPr>
      <w:bookmarkStart w:id="711" w:name="_Toc400554176"/>
      <w:bookmarkStart w:id="712" w:name="_Toc410115268"/>
      <w:bookmarkStart w:id="713" w:name="_Toc3896884"/>
      <w:r>
        <w:rPr>
          <w:rFonts w:hint="eastAsia"/>
          <w:sz w:val="24"/>
          <w:szCs w:val="24"/>
        </w:rPr>
        <w:t>五、与创新业务相关的责任落实与风险防范机制</w:t>
      </w:r>
      <w:bookmarkEnd w:id="711"/>
      <w:bookmarkEnd w:id="712"/>
      <w:bookmarkEnd w:id="713"/>
    </w:p>
    <w:p>
      <w:pPr>
        <w:pStyle w:val="40"/>
        <w:widowControl/>
        <w:spacing w:line="360" w:lineRule="auto"/>
        <w:ind w:firstLine="480"/>
        <w:jc w:val="left"/>
        <w:rPr>
          <w:rFonts w:ascii="宋体" w:hAnsi="宋体" w:cs="宋体"/>
          <w:kern w:val="0"/>
          <w:szCs w:val="24"/>
        </w:rPr>
      </w:pPr>
      <w:r>
        <w:rPr>
          <w:rFonts w:ascii="宋体" w:hAnsi="宋体" w:cs="宋体"/>
          <w:kern w:val="0"/>
          <w:szCs w:val="24"/>
        </w:rPr>
        <w:t>建立风险责任机制；规范股东行为，完善公司治理；加强业务隔离；防范违规行为</w:t>
      </w:r>
      <w:r>
        <w:rPr>
          <w:rFonts w:hint="eastAsia" w:ascii="宋体" w:hAnsi="宋体" w:cs="宋体"/>
          <w:kern w:val="0"/>
          <w:szCs w:val="24"/>
        </w:rPr>
        <w:t>。</w:t>
      </w:r>
    </w:p>
    <w:p>
      <w:pPr>
        <w:pStyle w:val="40"/>
        <w:widowControl/>
        <w:spacing w:line="360" w:lineRule="auto"/>
        <w:ind w:firstLine="480"/>
        <w:jc w:val="left"/>
        <w:rPr>
          <w:rFonts w:ascii="宋体" w:hAnsi="宋体" w:cs="宋体"/>
          <w:kern w:val="0"/>
          <w:szCs w:val="24"/>
        </w:rPr>
      </w:pPr>
      <w:r>
        <w:rPr>
          <w:rFonts w:ascii="宋体" w:hAnsi="宋体" w:cs="宋体"/>
          <w:kern w:val="0"/>
          <w:szCs w:val="24"/>
        </w:rPr>
        <w:t>依据：《关于进一步推进期货经营机构创新发展的意见》第8条</w:t>
      </w:r>
    </w:p>
    <w:p>
      <w:pPr>
        <w:pStyle w:val="40"/>
        <w:widowControl/>
        <w:spacing w:line="360" w:lineRule="auto"/>
        <w:ind w:firstLine="480"/>
        <w:jc w:val="left"/>
        <w:rPr>
          <w:rFonts w:ascii="宋体" w:hAnsi="宋体" w:cs="宋体"/>
          <w:kern w:val="0"/>
          <w:szCs w:val="24"/>
        </w:rPr>
      </w:pPr>
      <w:r>
        <w:rPr>
          <w:rFonts w:ascii="宋体" w:hAnsi="宋体" w:cs="宋体"/>
          <w:kern w:val="0"/>
          <w:szCs w:val="24"/>
        </w:rPr>
        <w:t>期货经营机构要建立与创新发展相适应的风险责任机制，开展负责任的创新，严格落实风险防范的主体责任。规范股东行为，完善法人治理结构和内部控制机制，强化董事、监事和高级管理人员的诚信责任，强化首席风险官的作用。建立有效的业务隔离制度，防范内幕交易、利益输送以及损害客户合法权益的行为。</w:t>
      </w:r>
      <w:bookmarkStart w:id="714" w:name="_Toc400554177"/>
    </w:p>
    <w:p>
      <w:pPr>
        <w:pStyle w:val="40"/>
        <w:widowControl/>
        <w:spacing w:line="360" w:lineRule="auto"/>
        <w:ind w:firstLine="480"/>
        <w:jc w:val="left"/>
        <w:rPr>
          <w:kern w:val="0"/>
          <w:szCs w:val="24"/>
        </w:rPr>
      </w:pPr>
    </w:p>
    <w:p>
      <w:pPr>
        <w:pStyle w:val="3"/>
        <w:rPr>
          <w:sz w:val="24"/>
          <w:szCs w:val="24"/>
        </w:rPr>
      </w:pPr>
      <w:bookmarkStart w:id="715" w:name="_Toc410115269"/>
      <w:bookmarkStart w:id="716" w:name="_Toc3896885"/>
      <w:r>
        <w:rPr>
          <w:rFonts w:hint="eastAsia"/>
          <w:sz w:val="24"/>
          <w:szCs w:val="24"/>
        </w:rPr>
        <w:t>六、期货公司风险监管报表的确认，报告和披露的责任与义务</w:t>
      </w:r>
      <w:bookmarkEnd w:id="715"/>
      <w:bookmarkEnd w:id="716"/>
    </w:p>
    <w:p>
      <w:pPr>
        <w:pStyle w:val="40"/>
        <w:widowControl/>
        <w:spacing w:line="360" w:lineRule="auto"/>
        <w:ind w:firstLine="480"/>
        <w:jc w:val="left"/>
        <w:rPr>
          <w:szCs w:val="24"/>
        </w:rPr>
      </w:pPr>
      <w:r>
        <w:rPr>
          <w:szCs w:val="24"/>
        </w:rPr>
        <w:t>风险监管报表的签字确认人员；期货公司向董事会定期报告，董事会向股东的信息披露；期货公司风险监管指标预警或不符合规定标准时的报告义务</w:t>
      </w:r>
      <w:r>
        <w:rPr>
          <w:rFonts w:hint="eastAsia"/>
          <w:szCs w:val="24"/>
        </w:rPr>
        <w:t>。</w:t>
      </w:r>
    </w:p>
    <w:p>
      <w:pPr>
        <w:pStyle w:val="40"/>
        <w:widowControl/>
        <w:spacing w:line="360" w:lineRule="auto"/>
        <w:ind w:firstLine="480"/>
        <w:jc w:val="left"/>
        <w:rPr>
          <w:szCs w:val="24"/>
        </w:rPr>
      </w:pPr>
      <w:r>
        <w:rPr>
          <w:szCs w:val="24"/>
        </w:rPr>
        <w:t>依据：《期货公司风险监管指标管理办法》第24条、第26条、</w:t>
      </w:r>
      <w:r>
        <w:rPr>
          <w:rFonts w:hint="eastAsia"/>
          <w:szCs w:val="24"/>
        </w:rPr>
        <w:t>第</w:t>
      </w:r>
      <w:r>
        <w:rPr>
          <w:szCs w:val="24"/>
        </w:rPr>
        <w:t>27条和第28条</w:t>
      </w:r>
    </w:p>
    <w:p>
      <w:pPr>
        <w:pStyle w:val="40"/>
        <w:widowControl/>
        <w:spacing w:line="360" w:lineRule="auto"/>
        <w:ind w:firstLine="480"/>
        <w:jc w:val="left"/>
        <w:rPr>
          <w:szCs w:val="24"/>
        </w:rPr>
      </w:pPr>
      <w:r>
        <w:rPr>
          <w:szCs w:val="24"/>
        </w:rPr>
        <w:t>第二十四条 期货公司法定代表人、经营管理主要负责人、首席风险官、财务负责人、结算负责人、制表人应当在风险监管报表上签字确认，并应当保证其真实、准确、完整。上述人员对风险监管报表内容持有异议的，应当书面说明意见和理由，向公司住所地中国证监会派出机构报送。</w:t>
      </w:r>
      <w:r>
        <w:rPr>
          <w:szCs w:val="24"/>
        </w:rPr>
        <w:br w:type="textWrapping"/>
      </w:r>
      <w:r>
        <w:rPr>
          <w:szCs w:val="24"/>
        </w:rPr>
        <w:t>　　第二十五条 期货公司应当按照中国证监会规定的方式报送风险监管报表。期货公司应当保留书面风险监管报表，相应责任人员应当在书面报表上签字，并加盖公司印章。该报表的保存期限应当不少于5年。</w:t>
      </w:r>
      <w:r>
        <w:rPr>
          <w:szCs w:val="24"/>
        </w:rPr>
        <w:br w:type="textWrapping"/>
      </w:r>
      <w:r>
        <w:rPr>
          <w:szCs w:val="24"/>
        </w:rPr>
        <w:t>　　第二十六条 期货公司应当每半年向公司董事会提交书面报告，说明净资本等各项风险监管指标的具体情况，该书面报告应当经期货公司法定代表人签字确认。该报告经董事会审议通过后，应当向公司全体股东提交或进行信息披露。</w:t>
      </w:r>
      <w:r>
        <w:rPr>
          <w:szCs w:val="24"/>
        </w:rPr>
        <w:br w:type="textWrapping"/>
      </w:r>
      <w:r>
        <w:rPr>
          <w:szCs w:val="24"/>
        </w:rPr>
        <w:t>　　第二十七条 净资本与风险资本准备的比例与上月相比变动超过20%的，期货公司应当向公司住所地中国证监会派出机构提交书面报告，说明原因，并在5个工作日内向全体董事提交书面报告。</w:t>
      </w:r>
      <w:r>
        <w:rPr>
          <w:szCs w:val="24"/>
        </w:rPr>
        <w:br w:type="textWrapping"/>
      </w:r>
      <w:r>
        <w:rPr>
          <w:szCs w:val="24"/>
        </w:rPr>
        <w:t>　　第二十八条 期货公司风险监管指标达到预警标准的，期货公司应当于当日向公司住所地中国证监会派出机构提交书面报告，详细说明原因、对公司的影响、解决问题的具体措施和期限，还应当向公司全体董事提交书面报告。</w:t>
      </w:r>
      <w:r>
        <w:rPr>
          <w:szCs w:val="24"/>
        </w:rPr>
        <w:br w:type="textWrapping"/>
      </w:r>
      <w:r>
        <w:rPr>
          <w:szCs w:val="24"/>
        </w:rPr>
        <w:t>　　期货公司风险监管指标不符合规定标准的，期货公司除履行上述程序外，还应当于当日向全体股东报告或进行信息披露。</w:t>
      </w:r>
      <w:bookmarkEnd w:id="714"/>
    </w:p>
    <w:p>
      <w:pPr>
        <w:pStyle w:val="40"/>
        <w:widowControl/>
        <w:spacing w:line="360" w:lineRule="auto"/>
        <w:ind w:firstLine="480"/>
        <w:jc w:val="left"/>
        <w:rPr>
          <w:rFonts w:ascii="宋体" w:hAnsi="宋体" w:cs="宋体"/>
          <w:kern w:val="0"/>
          <w:szCs w:val="24"/>
        </w:rPr>
      </w:pPr>
    </w:p>
    <w:p>
      <w:pPr>
        <w:pStyle w:val="3"/>
        <w:rPr>
          <w:sz w:val="24"/>
          <w:szCs w:val="24"/>
        </w:rPr>
      </w:pPr>
      <w:bookmarkStart w:id="717" w:name="_Toc3896886"/>
      <w:bookmarkStart w:id="718" w:name="_Toc410115270"/>
      <w:bookmarkStart w:id="719" w:name="_Toc400554178"/>
      <w:r>
        <w:rPr>
          <w:rFonts w:hint="eastAsia"/>
          <w:sz w:val="24"/>
          <w:szCs w:val="24"/>
        </w:rPr>
        <w:t>七、如何认识期货公司的内部控制</w:t>
      </w:r>
      <w:bookmarkEnd w:id="717"/>
      <w:bookmarkEnd w:id="718"/>
      <w:bookmarkEnd w:id="719"/>
    </w:p>
    <w:p>
      <w:pPr>
        <w:pStyle w:val="4"/>
        <w:rPr>
          <w:szCs w:val="24"/>
        </w:rPr>
      </w:pPr>
      <w:bookmarkStart w:id="720" w:name="_Toc410115271"/>
      <w:bookmarkStart w:id="721" w:name="_Toc3896887"/>
      <w:bookmarkStart w:id="722" w:name="_Toc400554179"/>
      <w:r>
        <w:rPr>
          <w:rFonts w:hint="eastAsia"/>
          <w:szCs w:val="24"/>
        </w:rPr>
        <w:t>（一）什么是期货公司的内部控制</w:t>
      </w:r>
      <w:bookmarkEnd w:id="720"/>
      <w:bookmarkEnd w:id="721"/>
      <w:bookmarkEnd w:id="722"/>
    </w:p>
    <w:p>
      <w:pPr>
        <w:spacing w:line="360" w:lineRule="auto"/>
      </w:pPr>
      <w:bookmarkStart w:id="723" w:name="_Toc400554180"/>
      <w:r>
        <w:rPr>
          <w:rFonts w:hint="eastAsia"/>
        </w:rPr>
        <w:t xml:space="preserve">    期货公司的内部控制是指公司为保证期货业务的规范运作，实现其经营目标，防范出现经营风险而设立的各种控制机制和一系列内部运作控制程序、措施和方法的总称。</w:t>
      </w:r>
      <w:bookmarkEnd w:id="723"/>
    </w:p>
    <w:p>
      <w:pPr>
        <w:spacing w:line="360" w:lineRule="auto"/>
        <w:ind w:firstLine="480" w:firstLineChars="200"/>
        <w:jc w:val="left"/>
        <w:rPr>
          <w:rFonts w:ascii="仿宋" w:hAnsi="仿宋"/>
        </w:rPr>
      </w:pPr>
      <w:bookmarkStart w:id="724" w:name="_Toc400554181"/>
      <w:r>
        <w:rPr>
          <w:rFonts w:hint="eastAsia" w:ascii="仿宋" w:hAnsi="仿宋"/>
        </w:rPr>
        <w:t>具体来说，期货公司的内部控制包括两个方面内容；</w:t>
      </w:r>
      <w:bookmarkEnd w:id="724"/>
    </w:p>
    <w:p>
      <w:pPr>
        <w:spacing w:line="360" w:lineRule="auto"/>
        <w:ind w:firstLine="480" w:firstLineChars="200"/>
        <w:jc w:val="left"/>
        <w:rPr>
          <w:rFonts w:ascii="仿宋" w:hAnsi="仿宋"/>
        </w:rPr>
      </w:pPr>
      <w:bookmarkStart w:id="725" w:name="_Toc400554182"/>
      <w:r>
        <w:rPr>
          <w:rFonts w:ascii="仿宋" w:hAnsi="仿宋"/>
        </w:rPr>
        <w:t>1</w:t>
      </w:r>
      <w:r>
        <w:rPr>
          <w:rFonts w:hint="eastAsia" w:ascii="仿宋" w:hAnsi="仿宋"/>
        </w:rPr>
        <w:t>、内部控制机制，指期货公司的内部组织、组织结构及其相互之间的制约关系；</w:t>
      </w:r>
      <w:bookmarkEnd w:id="725"/>
    </w:p>
    <w:p>
      <w:pPr>
        <w:spacing w:line="360" w:lineRule="auto"/>
        <w:ind w:firstLine="480" w:firstLineChars="200"/>
        <w:jc w:val="left"/>
        <w:rPr>
          <w:rFonts w:ascii="仿宋" w:hAnsi="仿宋"/>
        </w:rPr>
      </w:pPr>
      <w:bookmarkStart w:id="726" w:name="_Toc400554183"/>
      <w:r>
        <w:rPr>
          <w:rFonts w:hint="eastAsia" w:ascii="仿宋" w:hAnsi="仿宋"/>
        </w:rPr>
        <w:t>2、内部控制文本制度。指期货公司为规范自身的经营行为，防范风险而制定的一系列业务操作程序，管理办法和各项措施的总称。</w:t>
      </w:r>
      <w:bookmarkEnd w:id="726"/>
    </w:p>
    <w:p>
      <w:pPr>
        <w:pStyle w:val="4"/>
        <w:rPr>
          <w:szCs w:val="24"/>
        </w:rPr>
      </w:pPr>
      <w:bookmarkStart w:id="727" w:name="_Toc400554184"/>
      <w:bookmarkStart w:id="728" w:name="_Toc410115272"/>
      <w:bookmarkStart w:id="729" w:name="_Toc3896888"/>
      <w:r>
        <w:rPr>
          <w:rFonts w:hint="eastAsia"/>
          <w:szCs w:val="24"/>
        </w:rPr>
        <w:t>（二）对期货公司的内部控制的几点认识</w:t>
      </w:r>
      <w:bookmarkEnd w:id="727"/>
      <w:bookmarkEnd w:id="728"/>
      <w:bookmarkEnd w:id="729"/>
    </w:p>
    <w:p>
      <w:pPr>
        <w:spacing w:line="360" w:lineRule="auto"/>
        <w:ind w:firstLine="480" w:firstLineChars="200"/>
        <w:jc w:val="left"/>
        <w:rPr>
          <w:rFonts w:ascii="仿宋" w:hAnsi="仿宋"/>
        </w:rPr>
      </w:pPr>
      <w:bookmarkStart w:id="730" w:name="_Toc400554185"/>
      <w:r>
        <w:rPr>
          <w:rFonts w:ascii="仿宋" w:hAnsi="仿宋"/>
        </w:rPr>
        <w:t>1</w:t>
      </w:r>
      <w:r>
        <w:rPr>
          <w:rFonts w:hint="eastAsia" w:ascii="仿宋" w:hAnsi="仿宋"/>
        </w:rPr>
        <w:t>、期货公司的内部控制的目的重在防范风险，对于期货公司来说，只有控制住风险才能增加收益，风险是第一位的，收益是第二位的；</w:t>
      </w:r>
      <w:bookmarkEnd w:id="730"/>
    </w:p>
    <w:p>
      <w:pPr>
        <w:spacing w:line="360" w:lineRule="auto"/>
        <w:ind w:firstLine="480" w:firstLineChars="200"/>
        <w:jc w:val="left"/>
        <w:rPr>
          <w:rFonts w:ascii="仿宋" w:hAnsi="仿宋"/>
        </w:rPr>
      </w:pPr>
      <w:bookmarkStart w:id="731" w:name="_Toc400554186"/>
      <w:r>
        <w:rPr>
          <w:rFonts w:hint="eastAsia" w:ascii="仿宋" w:hAnsi="仿宋"/>
        </w:rPr>
        <w:t>2、期货公司内部控制是一个自上而下的过程。一方面，公司最高管理层应该成为风险管理的原动力，另一方面，最高管理层本身应该成为风险管理的对象和重点。</w:t>
      </w:r>
      <w:bookmarkEnd w:id="731"/>
    </w:p>
    <w:p>
      <w:pPr>
        <w:spacing w:line="360" w:lineRule="auto"/>
        <w:ind w:firstLine="480" w:firstLineChars="200"/>
        <w:jc w:val="left"/>
        <w:rPr>
          <w:rFonts w:ascii="仿宋" w:hAnsi="仿宋"/>
        </w:rPr>
      </w:pPr>
      <w:bookmarkStart w:id="732" w:name="_Toc400554187"/>
      <w:r>
        <w:rPr>
          <w:rFonts w:hint="eastAsia" w:ascii="仿宋" w:hAnsi="仿宋"/>
        </w:rPr>
        <w:t>3、期货公司应该建立独立的风险管理系统。风险管理的独立性强调风险管理应独立于具体承担风险的业务部门。</w:t>
      </w:r>
      <w:bookmarkEnd w:id="732"/>
    </w:p>
    <w:p>
      <w:pPr>
        <w:spacing w:line="360" w:lineRule="auto"/>
        <w:ind w:firstLine="480" w:firstLineChars="200"/>
        <w:jc w:val="left"/>
        <w:rPr>
          <w:rFonts w:ascii="仿宋" w:hAnsi="仿宋"/>
        </w:rPr>
      </w:pPr>
      <w:bookmarkStart w:id="733" w:name="_Toc400554188"/>
      <w:r>
        <w:rPr>
          <w:rFonts w:hint="eastAsia" w:ascii="仿宋" w:hAnsi="仿宋"/>
        </w:rPr>
        <w:t>4、期货公司内控的重点是：合法合规的治理结构、清晰明确的部门及岗位职责、相互检查和权利制衡的制度设计、科学简洁的业务流程与工作接口；</w:t>
      </w:r>
      <w:bookmarkEnd w:id="733"/>
    </w:p>
    <w:p>
      <w:pPr>
        <w:spacing w:line="360" w:lineRule="auto"/>
        <w:ind w:firstLine="480" w:firstLineChars="200"/>
        <w:jc w:val="left"/>
        <w:rPr>
          <w:rFonts w:ascii="仿宋" w:hAnsi="仿宋"/>
        </w:rPr>
      </w:pPr>
      <w:bookmarkStart w:id="734" w:name="_Toc400554189"/>
      <w:r>
        <w:rPr>
          <w:rFonts w:ascii="仿宋" w:hAnsi="仿宋"/>
        </w:rPr>
        <w:t>5</w:t>
      </w:r>
      <w:r>
        <w:rPr>
          <w:rFonts w:hint="eastAsia" w:ascii="仿宋" w:hAnsi="仿宋"/>
        </w:rPr>
        <w:t>、期货公司内控的主体是企业内部的管理层，各个部门及其人员，而控制的客体是期货业务。它涵盖事前监测、事中管理、事后处置的全过程；</w:t>
      </w:r>
      <w:bookmarkEnd w:id="734"/>
    </w:p>
    <w:p>
      <w:pPr>
        <w:spacing w:line="360" w:lineRule="auto"/>
        <w:ind w:firstLine="480" w:firstLineChars="200"/>
        <w:jc w:val="left"/>
        <w:rPr>
          <w:rFonts w:ascii="仿宋" w:hAnsi="仿宋"/>
        </w:rPr>
      </w:pPr>
      <w:bookmarkStart w:id="735" w:name="_Toc400554190"/>
      <w:r>
        <w:rPr>
          <w:rFonts w:ascii="仿宋" w:hAnsi="仿宋"/>
        </w:rPr>
        <w:t>6</w:t>
      </w:r>
      <w:r>
        <w:rPr>
          <w:rFonts w:hint="eastAsia" w:ascii="仿宋" w:hAnsi="仿宋"/>
        </w:rPr>
        <w:t>、期货公司内部控制不是各种管理制度、规章、条例、办法和实施程序的简单堆积，而是风险理念、管理行为、管理流程、职业道德等要素为一体的综合执行力</w:t>
      </w:r>
      <w:bookmarkEnd w:id="735"/>
      <w:r>
        <w:rPr>
          <w:rFonts w:hint="eastAsia" w:ascii="仿宋" w:hAnsi="仿宋"/>
        </w:rPr>
        <w:t>。</w:t>
      </w:r>
    </w:p>
    <w:p>
      <w:pPr>
        <w:spacing w:line="360" w:lineRule="auto"/>
        <w:ind w:firstLine="480" w:firstLineChars="200"/>
        <w:jc w:val="left"/>
        <w:rPr>
          <w:rFonts w:ascii="仿宋" w:hAnsi="仿宋"/>
        </w:rPr>
      </w:pPr>
    </w:p>
    <w:p>
      <w:pPr>
        <w:pStyle w:val="3"/>
        <w:rPr>
          <w:sz w:val="24"/>
          <w:szCs w:val="24"/>
        </w:rPr>
      </w:pPr>
      <w:bookmarkStart w:id="736" w:name="_Toc400554191"/>
      <w:bookmarkStart w:id="737" w:name="_Toc410115273"/>
      <w:bookmarkStart w:id="738" w:name="_Toc3896889"/>
      <w:r>
        <w:rPr>
          <w:rFonts w:hint="eastAsia"/>
          <w:sz w:val="24"/>
          <w:szCs w:val="24"/>
        </w:rPr>
        <w:t>八、期货公司内部控制及风险管理基本原则</w:t>
      </w:r>
      <w:bookmarkEnd w:id="736"/>
      <w:bookmarkEnd w:id="737"/>
      <w:bookmarkEnd w:id="738"/>
    </w:p>
    <w:p>
      <w:pPr>
        <w:spacing w:line="360" w:lineRule="auto"/>
        <w:ind w:firstLine="480" w:firstLineChars="200"/>
        <w:rPr>
          <w:rFonts w:ascii="仿宋" w:hAnsi="仿宋"/>
        </w:rPr>
      </w:pPr>
      <w:r>
        <w:rPr>
          <w:rFonts w:hint="eastAsia" w:ascii="仿宋" w:hAnsi="仿宋"/>
        </w:rPr>
        <w:t>依据：《企业内部控制基本规范》第</w:t>
      </w:r>
      <w:r>
        <w:rPr>
          <w:rFonts w:ascii="仿宋" w:hAnsi="仿宋"/>
        </w:rPr>
        <w:t>4条</w:t>
      </w:r>
    </w:p>
    <w:p>
      <w:pPr>
        <w:spacing w:line="360" w:lineRule="auto"/>
        <w:ind w:firstLine="480" w:firstLineChars="200"/>
        <w:rPr>
          <w:rFonts w:ascii="仿宋" w:hAnsi="仿宋"/>
        </w:rPr>
      </w:pPr>
      <w:r>
        <w:rPr>
          <w:rFonts w:hint="eastAsia" w:ascii="仿宋" w:hAnsi="仿宋"/>
        </w:rPr>
        <w:t>第四条</w:t>
      </w:r>
      <w:r>
        <w:rPr>
          <w:rFonts w:ascii="仿宋" w:hAnsi="仿宋"/>
        </w:rPr>
        <w:t xml:space="preserve"> </w:t>
      </w:r>
      <w:r>
        <w:rPr>
          <w:rFonts w:hint="eastAsia" w:ascii="仿宋" w:hAnsi="仿宋"/>
        </w:rPr>
        <w:t>企业建立与实施内部控制，应当遵循下列原则：</w:t>
      </w:r>
    </w:p>
    <w:p>
      <w:pPr>
        <w:spacing w:line="360" w:lineRule="auto"/>
        <w:ind w:firstLine="480" w:firstLineChars="200"/>
        <w:rPr>
          <w:rFonts w:ascii="仿宋" w:hAnsi="仿宋"/>
        </w:rPr>
      </w:pPr>
      <w:r>
        <w:rPr>
          <w:rFonts w:hint="eastAsia" w:ascii="仿宋" w:hAnsi="仿宋"/>
        </w:rPr>
        <w:t>（一）全面性原则。内部控制应当贯穿决策、执行和监督全过程，覆盖企业及其所属单位的各种业务和事项。</w:t>
      </w:r>
    </w:p>
    <w:p>
      <w:pPr>
        <w:spacing w:line="360" w:lineRule="auto"/>
        <w:ind w:firstLine="480" w:firstLineChars="200"/>
        <w:rPr>
          <w:rFonts w:ascii="仿宋" w:hAnsi="仿宋"/>
        </w:rPr>
      </w:pPr>
      <w:r>
        <w:rPr>
          <w:rFonts w:hint="eastAsia" w:ascii="仿宋" w:hAnsi="仿宋"/>
        </w:rPr>
        <w:t>（二）重要性原则。内部控制应当在全面控制的基础上，关注重要业务事项和高风险领域。</w:t>
      </w:r>
    </w:p>
    <w:p>
      <w:pPr>
        <w:spacing w:line="360" w:lineRule="auto"/>
        <w:ind w:firstLine="480" w:firstLineChars="200"/>
        <w:rPr>
          <w:rFonts w:ascii="仿宋" w:hAnsi="仿宋"/>
        </w:rPr>
      </w:pPr>
      <w:r>
        <w:rPr>
          <w:rFonts w:hint="eastAsia" w:ascii="仿宋" w:hAnsi="仿宋"/>
        </w:rPr>
        <w:t>（三）制衡性原则。内部控制应当在治理结构、机构设置及权责分配、业务流程等方面形成相互制约、相互监督，同时兼顾运营效率。</w:t>
      </w:r>
    </w:p>
    <w:p>
      <w:pPr>
        <w:spacing w:line="360" w:lineRule="auto"/>
        <w:ind w:firstLine="480" w:firstLineChars="200"/>
        <w:rPr>
          <w:rFonts w:ascii="仿宋" w:hAnsi="仿宋"/>
        </w:rPr>
      </w:pPr>
      <w:r>
        <w:rPr>
          <w:rFonts w:hint="eastAsia" w:ascii="仿宋" w:hAnsi="仿宋"/>
        </w:rPr>
        <w:t>（四）适应性原则。内部控制应当与企业经营规模、业务范围、竞争状况和风险水平等相适应，并随着情况的变化及时加以调整。</w:t>
      </w:r>
    </w:p>
    <w:p>
      <w:pPr>
        <w:spacing w:line="360" w:lineRule="auto"/>
        <w:ind w:firstLine="480" w:firstLineChars="200"/>
        <w:rPr>
          <w:rFonts w:ascii="仿宋" w:hAnsi="仿宋"/>
        </w:rPr>
      </w:pPr>
      <w:r>
        <w:rPr>
          <w:rFonts w:hint="eastAsia" w:ascii="仿宋" w:hAnsi="仿宋"/>
        </w:rPr>
        <w:t>（五）成本效益原则。内部控制应当权衡实施成本与预期效益，以适当的成本实现有效控制。</w:t>
      </w:r>
    </w:p>
    <w:p>
      <w:pPr>
        <w:spacing w:line="360" w:lineRule="auto"/>
        <w:ind w:firstLine="480" w:firstLineChars="200"/>
        <w:rPr>
          <w:rFonts w:ascii="仿宋" w:hAnsi="仿宋"/>
        </w:rPr>
      </w:pPr>
    </w:p>
    <w:p>
      <w:pPr>
        <w:pStyle w:val="3"/>
        <w:rPr>
          <w:sz w:val="24"/>
          <w:szCs w:val="24"/>
        </w:rPr>
      </w:pPr>
      <w:bookmarkStart w:id="739" w:name="_Toc400554193"/>
      <w:bookmarkStart w:id="740" w:name="_Toc410115274"/>
      <w:bookmarkStart w:id="741" w:name="_Toc3896890"/>
      <w:r>
        <w:rPr>
          <w:rFonts w:hint="eastAsia"/>
          <w:sz w:val="24"/>
          <w:szCs w:val="24"/>
        </w:rPr>
        <w:t>九、期货公司建立与实施内部控制应包括的基本要素</w:t>
      </w:r>
      <w:bookmarkEnd w:id="739"/>
      <w:bookmarkEnd w:id="740"/>
      <w:bookmarkEnd w:id="741"/>
    </w:p>
    <w:p>
      <w:pPr>
        <w:spacing w:line="360" w:lineRule="auto"/>
        <w:ind w:firstLine="480" w:firstLineChars="200"/>
        <w:rPr>
          <w:rFonts w:ascii="仿宋" w:hAnsi="仿宋"/>
        </w:rPr>
      </w:pPr>
      <w:r>
        <w:rPr>
          <w:rFonts w:hint="eastAsia" w:ascii="仿宋" w:hAnsi="仿宋"/>
        </w:rPr>
        <w:t>依据：《企业内部控制基本规范》第5条</w:t>
      </w:r>
    </w:p>
    <w:p>
      <w:pPr>
        <w:spacing w:line="360" w:lineRule="auto"/>
        <w:ind w:firstLine="480" w:firstLineChars="200"/>
        <w:rPr>
          <w:rFonts w:ascii="仿宋" w:hAnsi="仿宋"/>
        </w:rPr>
      </w:pPr>
      <w:r>
        <w:rPr>
          <w:rFonts w:hint="eastAsia" w:ascii="仿宋" w:hAnsi="仿宋"/>
        </w:rPr>
        <w:t>第五条 企业建立与实施有效的内部控制，应当包括下列要素：</w:t>
      </w:r>
    </w:p>
    <w:p>
      <w:pPr>
        <w:spacing w:line="360" w:lineRule="auto"/>
        <w:ind w:firstLine="480" w:firstLineChars="200"/>
        <w:rPr>
          <w:rFonts w:ascii="仿宋" w:hAnsi="仿宋"/>
        </w:rPr>
      </w:pPr>
      <w:r>
        <w:rPr>
          <w:rFonts w:hint="eastAsia" w:ascii="仿宋" w:hAnsi="仿宋"/>
        </w:rPr>
        <w:t>（一）内部环境。内部环境是企业实施内部控制的基础，一般包括治理结构、机构设置及权责分配、内部审计、人力资源政策、企业文化等。</w:t>
      </w:r>
    </w:p>
    <w:p>
      <w:pPr>
        <w:spacing w:line="360" w:lineRule="auto"/>
        <w:ind w:firstLine="480" w:firstLineChars="200"/>
        <w:rPr>
          <w:rFonts w:ascii="仿宋" w:hAnsi="仿宋"/>
        </w:rPr>
      </w:pPr>
      <w:r>
        <w:rPr>
          <w:rFonts w:hint="eastAsia" w:ascii="仿宋" w:hAnsi="仿宋"/>
        </w:rPr>
        <w:t>（二）风险评估。风险评估是企业及时识别、系统分析经营活动中与实现内部控制目标相关的风险，合理确定风险应对策略。</w:t>
      </w:r>
    </w:p>
    <w:p>
      <w:pPr>
        <w:spacing w:line="360" w:lineRule="auto"/>
        <w:ind w:firstLine="480" w:firstLineChars="200"/>
        <w:rPr>
          <w:rFonts w:ascii="仿宋" w:hAnsi="仿宋"/>
        </w:rPr>
      </w:pPr>
      <w:r>
        <w:rPr>
          <w:rFonts w:hint="eastAsia" w:ascii="仿宋" w:hAnsi="仿宋"/>
        </w:rPr>
        <w:t>（三）控制活动。控制活动是企业根据风险评估结果，采用相应的控制措施，将风险控制在可承受度之内。</w:t>
      </w:r>
    </w:p>
    <w:p>
      <w:pPr>
        <w:spacing w:line="360" w:lineRule="auto"/>
        <w:ind w:firstLine="480" w:firstLineChars="200"/>
        <w:rPr>
          <w:rFonts w:ascii="仿宋" w:hAnsi="仿宋"/>
        </w:rPr>
      </w:pPr>
      <w:r>
        <w:rPr>
          <w:rFonts w:hint="eastAsia" w:ascii="仿宋" w:hAnsi="仿宋"/>
        </w:rPr>
        <w:t>（四）信息与沟通。信息与沟通是企业及时、准确地收集、传递与内部控制相关的信息，确保信息在企业内部、企业与外部之间进行有效沟通。</w:t>
      </w:r>
    </w:p>
    <w:p>
      <w:pPr>
        <w:spacing w:line="360" w:lineRule="auto"/>
        <w:ind w:firstLine="480" w:firstLineChars="200"/>
        <w:rPr>
          <w:rFonts w:ascii="仿宋" w:hAnsi="仿宋"/>
        </w:rPr>
      </w:pPr>
      <w:r>
        <w:rPr>
          <w:rFonts w:hint="eastAsia" w:ascii="仿宋" w:hAnsi="仿宋"/>
        </w:rPr>
        <w:t>（五）内部监督。内部监督是企业对内部控制建立与实施情况进行监督检查，评价内部控制的有效性，发现内部控制缺陷，应当及时加以改进。</w:t>
      </w:r>
    </w:p>
    <w:p>
      <w:pPr>
        <w:spacing w:line="360" w:lineRule="auto"/>
        <w:ind w:firstLine="480" w:firstLineChars="200"/>
        <w:rPr>
          <w:rFonts w:ascii="仿宋" w:hAnsi="仿宋"/>
        </w:rPr>
      </w:pPr>
    </w:p>
    <w:p>
      <w:pPr>
        <w:pStyle w:val="3"/>
        <w:rPr>
          <w:sz w:val="24"/>
          <w:szCs w:val="24"/>
        </w:rPr>
      </w:pPr>
      <w:bookmarkStart w:id="742" w:name="_Toc3896891"/>
      <w:r>
        <w:rPr>
          <w:rFonts w:hint="eastAsia"/>
          <w:sz w:val="24"/>
          <w:szCs w:val="24"/>
        </w:rPr>
        <w:t>十、关于合规、合规管理及合规风险的定义</w:t>
      </w:r>
      <w:bookmarkEnd w:id="742"/>
    </w:p>
    <w:p>
      <w:pPr>
        <w:spacing w:line="360" w:lineRule="auto"/>
        <w:ind w:firstLine="480" w:firstLineChars="200"/>
        <w:rPr>
          <w:rFonts w:ascii="仿宋" w:hAnsi="仿宋"/>
        </w:rPr>
      </w:pPr>
      <w:r>
        <w:rPr>
          <w:rFonts w:hint="eastAsia" w:ascii="仿宋" w:hAnsi="仿宋"/>
        </w:rPr>
        <w:t>依据：</w:t>
      </w:r>
    </w:p>
    <w:p>
      <w:pPr>
        <w:spacing w:line="360" w:lineRule="auto"/>
        <w:ind w:firstLine="480" w:firstLineChars="200"/>
        <w:rPr>
          <w:rFonts w:ascii="仿宋" w:hAnsi="仿宋"/>
        </w:rPr>
      </w:pPr>
      <w:r>
        <w:rPr>
          <w:rFonts w:hint="eastAsia" w:ascii="仿宋" w:hAnsi="仿宋"/>
        </w:rPr>
        <w:t>《证券公司和证券投资基金管理公司合规管理办法》（中国证券监督管理委员会令（第133号））</w:t>
      </w:r>
    </w:p>
    <w:p>
      <w:pPr>
        <w:spacing w:line="360" w:lineRule="auto"/>
        <w:rPr>
          <w:rFonts w:ascii="仿宋" w:hAnsi="仿宋"/>
        </w:rPr>
      </w:pPr>
      <w:r>
        <w:rPr>
          <w:rFonts w:hint="eastAsia" w:ascii="仿宋" w:hAnsi="仿宋"/>
        </w:rPr>
        <w:t>　 第二条　在中华人民共和国境内设立的证券公司和证券投资基金管理公司(以下统称证券基金经营机构)应当按照本办法实施合规管理。</w:t>
      </w:r>
    </w:p>
    <w:p>
      <w:pPr>
        <w:spacing w:line="360" w:lineRule="auto"/>
        <w:rPr>
          <w:rFonts w:ascii="仿宋" w:hAnsi="仿宋"/>
        </w:rPr>
      </w:pPr>
      <w:r>
        <w:rPr>
          <w:rFonts w:hint="eastAsia" w:ascii="仿宋" w:hAnsi="仿宋"/>
        </w:rPr>
        <w:t>　　本办法所称合规，是指证券基金经营机构及其工作人员的经营管理和执业行为符合法律、法规、规章及规范性文件、行业规范和自律规则、公司内部规章制度，以及行业普遍遵守的职业道德和行为准则(以下统称法律法规和准则)。</w:t>
      </w:r>
    </w:p>
    <w:p>
      <w:pPr>
        <w:spacing w:line="360" w:lineRule="auto"/>
        <w:rPr>
          <w:rFonts w:ascii="仿宋" w:hAnsi="仿宋"/>
        </w:rPr>
      </w:pPr>
      <w:r>
        <w:rPr>
          <w:rFonts w:hint="eastAsia" w:ascii="仿宋" w:hAnsi="仿宋"/>
        </w:rPr>
        <w:t>　　本办法所称合规管理，是指证券基金经营机构制定和执行合规管理制度，建立合规管理机制，防范合规风险的行为。</w:t>
      </w:r>
    </w:p>
    <w:p>
      <w:pPr>
        <w:spacing w:line="360" w:lineRule="auto"/>
        <w:ind w:firstLine="480"/>
        <w:rPr>
          <w:rFonts w:ascii="仿宋" w:hAnsi="仿宋"/>
        </w:rPr>
      </w:pPr>
      <w:r>
        <w:rPr>
          <w:rFonts w:hint="eastAsia" w:ascii="仿宋" w:hAnsi="仿宋"/>
        </w:rPr>
        <w:t>本办法所称合规风险，是指因证券基金经营机构或其工作人员的经营管理或执业行为违反法律法规和准则而使证券基金经营机构被依法追究法律责任、采取监管措施、给予纪律处分、出现财产损失或商业信誉损失的风险。</w:t>
      </w:r>
    </w:p>
    <w:p>
      <w:pPr>
        <w:spacing w:line="360" w:lineRule="auto"/>
        <w:rPr>
          <w:rFonts w:ascii="仿宋" w:hAnsi="仿宋"/>
        </w:rPr>
      </w:pPr>
    </w:p>
    <w:p>
      <w:pPr>
        <w:spacing w:line="360" w:lineRule="auto"/>
        <w:rPr>
          <w:rFonts w:ascii="仿宋" w:hAnsi="仿宋"/>
        </w:rPr>
      </w:pPr>
    </w:p>
    <w:p>
      <w:pPr>
        <w:pStyle w:val="3"/>
        <w:rPr>
          <w:sz w:val="24"/>
          <w:szCs w:val="24"/>
        </w:rPr>
      </w:pPr>
      <w:bookmarkStart w:id="743" w:name="_Toc3896892"/>
      <w:r>
        <w:rPr>
          <w:rFonts w:hint="eastAsia"/>
          <w:sz w:val="24"/>
          <w:szCs w:val="24"/>
        </w:rPr>
        <w:t>十一</w:t>
      </w:r>
      <w:r>
        <w:rPr>
          <w:sz w:val="24"/>
          <w:szCs w:val="24"/>
        </w:rPr>
        <w:t>、</w:t>
      </w:r>
      <w:r>
        <w:rPr>
          <w:rFonts w:hint="eastAsia"/>
          <w:sz w:val="24"/>
          <w:szCs w:val="24"/>
        </w:rPr>
        <w:t>关于证券基金经营机构对各层级子公司的合规管理责任</w:t>
      </w:r>
      <w:bookmarkEnd w:id="743"/>
    </w:p>
    <w:p>
      <w:pPr>
        <w:spacing w:line="360" w:lineRule="auto"/>
        <w:ind w:firstLine="480" w:firstLineChars="200"/>
        <w:rPr>
          <w:rFonts w:ascii="仿宋" w:hAnsi="仿宋"/>
        </w:rPr>
      </w:pPr>
      <w:r>
        <w:rPr>
          <w:rFonts w:hint="eastAsia" w:ascii="仿宋" w:hAnsi="仿宋"/>
        </w:rPr>
        <w:t>依据：</w:t>
      </w:r>
    </w:p>
    <w:p>
      <w:pPr>
        <w:spacing w:line="360" w:lineRule="auto"/>
        <w:ind w:firstLine="480" w:firstLineChars="200"/>
        <w:rPr>
          <w:rFonts w:ascii="仿宋" w:hAnsi="仿宋"/>
        </w:rPr>
      </w:pPr>
      <w:r>
        <w:rPr>
          <w:rFonts w:hint="eastAsia" w:ascii="仿宋" w:hAnsi="仿宋"/>
        </w:rPr>
        <w:t>《证券公司和证券投资基金管理公司合规管理办法》（中国证券监督管理委员会令（第133号））</w:t>
      </w:r>
    </w:p>
    <w:p>
      <w:pPr>
        <w:spacing w:line="360" w:lineRule="auto"/>
        <w:ind w:firstLine="480" w:firstLineChars="200"/>
        <w:rPr>
          <w:rFonts w:ascii="仿宋" w:hAnsi="仿宋"/>
        </w:rPr>
      </w:pPr>
      <w:r>
        <w:rPr>
          <w:rFonts w:hint="eastAsia" w:ascii="仿宋" w:hAnsi="仿宋"/>
        </w:rPr>
        <w:t>第二十四条 证券基金经营机构应当将各层级子公司的合规管理纳入统一体</w:t>
      </w:r>
    </w:p>
    <w:p>
      <w:pPr>
        <w:spacing w:line="360" w:lineRule="auto"/>
        <w:rPr>
          <w:rFonts w:ascii="仿宋" w:hAnsi="仿宋"/>
        </w:rPr>
      </w:pPr>
      <w:r>
        <w:rPr>
          <w:rFonts w:hint="eastAsia" w:ascii="仿宋" w:hAnsi="仿宋"/>
        </w:rPr>
        <w:t>系，明确子公司向母公司报告的合规管理事项，对子公司的合规管理制度进行审</w:t>
      </w:r>
    </w:p>
    <w:p>
      <w:pPr>
        <w:spacing w:line="360" w:lineRule="auto"/>
        <w:rPr>
          <w:rFonts w:ascii="仿宋" w:hAnsi="仿宋"/>
        </w:rPr>
      </w:pPr>
      <w:r>
        <w:rPr>
          <w:rFonts w:hint="eastAsia" w:ascii="仿宋" w:hAnsi="仿宋"/>
        </w:rPr>
        <w:t>查，对子公司经营管理行为的合规性进行监督和检查，确保子公司合规管理工作符合母公司的要求。</w:t>
      </w:r>
    </w:p>
    <w:p>
      <w:pPr>
        <w:spacing w:line="360" w:lineRule="auto"/>
        <w:ind w:firstLine="480" w:firstLineChars="200"/>
        <w:rPr>
          <w:rFonts w:ascii="仿宋" w:hAnsi="仿宋"/>
        </w:rPr>
      </w:pPr>
      <w:r>
        <w:rPr>
          <w:rFonts w:hint="eastAsia" w:ascii="仿宋" w:hAnsi="仿宋"/>
        </w:rPr>
        <w:t>从事另类投资、私募基金管理、基金销售等活动的子公司，应当由证券基金经营机构选派人员作为子公司高级管理人员负责合规管理工作，并由合规负责人考核和管理。</w:t>
      </w:r>
    </w:p>
    <w:p>
      <w:pPr>
        <w:spacing w:line="360" w:lineRule="auto"/>
        <w:ind w:firstLine="480" w:firstLineChars="200"/>
        <w:rPr>
          <w:rFonts w:ascii="仿宋" w:hAnsi="仿宋"/>
        </w:rPr>
      </w:pPr>
    </w:p>
    <w:p>
      <w:pPr>
        <w:spacing w:line="360" w:lineRule="auto"/>
        <w:ind w:firstLine="480" w:firstLineChars="200"/>
        <w:rPr>
          <w:rFonts w:ascii="仿宋" w:hAnsi="仿宋"/>
          <w:color w:val="17375E" w:themeColor="text2" w:themeShade="BF"/>
        </w:rPr>
      </w:pPr>
    </w:p>
    <w:sectPr>
      <w:footerReference r:id="rId8" w:type="first"/>
      <w:footerReference r:id="rId7" w:type="default"/>
      <w:pgSz w:w="11906" w:h="16838"/>
      <w:pgMar w:top="1440" w:right="1800" w:bottom="1440" w:left="1800" w:header="851" w:footer="992" w:gutter="0"/>
      <w:pgNumType w:fmt="decimal" w:start="1"/>
      <w:cols w:space="425"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仿宋简体">
    <w:altName w:val="宋体"/>
    <w:panose1 w:val="00000000000000000000"/>
    <w:charset w:val="86"/>
    <w:family w:val="auto"/>
    <w:pitch w:val="default"/>
    <w:sig w:usb0="00000000" w:usb1="00000000" w:usb2="00000010" w:usb3="00000000" w:csb0="00040000" w:csb1="00000000"/>
  </w:font>
  <w:font w:name="FZDaBiaoSong-B06S">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7"/>
      </w:rPr>
    </w:pPr>
    <w:r>
      <w:rPr>
        <w:rStyle w:val="27"/>
      </w:rPr>
      <w:fldChar w:fldCharType="begin"/>
    </w:r>
    <w:r>
      <w:rPr>
        <w:rStyle w:val="27"/>
      </w:rPr>
      <w:instrText xml:space="preserve">PAGE  </w:instrText>
    </w:r>
    <w:r>
      <w:rPr>
        <w:rStyle w:val="27"/>
      </w:rP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K+2GQzDAgAA2AUAAA4AAAAA&#10;AAAAAQAgAAAAHwEAAGRycy9lMm9Eb2MueG1sUEsFBgAAAAAGAAYAWQEAAFQGAAAAAA==&#10;">
              <v:fill on="f" focussize="0,0"/>
              <v:stroke on="f" weight="0.5pt"/>
              <v:imagedata o:title=""/>
              <o:lock v:ext="edit" aspectratio="f"/>
              <v:textbox inset="0mm,0mm,0mm,0mm" style="mso-fit-shape-to-text:t;">
                <w:txbxContent>
                  <w:p>
                    <w:pPr>
                      <w:pStyle w:val="13"/>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PmJJ6bDAgAA2AUAAA4AAAAA&#10;AAAAAQAgAAAAHwEAAGRycy9lMm9Eb2MueG1sUEsFBgAAAAAGAAYAWQEAAFQGAAAAAA==&#10;">
              <v:fill on="f" focussize="0,0"/>
              <v:stroke on="f" weight="0.5pt"/>
              <v:imagedata o:title=""/>
              <o:lock v:ext="edit" aspectratio="f"/>
              <v:textbox inset="0mm,0mm,0mm,0mm" style="mso-fit-shape-to-text:t;">
                <w:txbxContent>
                  <w:p>
                    <w:pPr>
                      <w:pStyle w:val="13"/>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24B6A"/>
    <w:multiLevelType w:val="multilevel"/>
    <w:tmpl w:val="11324B6A"/>
    <w:lvl w:ilvl="0" w:tentative="0">
      <w:start w:val="3"/>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4EC5795"/>
    <w:multiLevelType w:val="multilevel"/>
    <w:tmpl w:val="14EC5795"/>
    <w:lvl w:ilvl="0" w:tentative="0">
      <w:start w:val="4"/>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B7C1D48"/>
    <w:multiLevelType w:val="multilevel"/>
    <w:tmpl w:val="1B7C1D48"/>
    <w:lvl w:ilvl="0" w:tentative="0">
      <w:start w:val="2"/>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CCA1EBC"/>
    <w:multiLevelType w:val="multilevel"/>
    <w:tmpl w:val="1CCA1EBC"/>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7605874"/>
    <w:multiLevelType w:val="multilevel"/>
    <w:tmpl w:val="27605874"/>
    <w:lvl w:ilvl="0" w:tentative="0">
      <w:start w:val="1"/>
      <w:numFmt w:val="japaneseCounting"/>
      <w:lvlText w:val="（%1）"/>
      <w:lvlJc w:val="left"/>
      <w:pPr>
        <w:ind w:left="750" w:hanging="75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90F2EE4"/>
    <w:multiLevelType w:val="multilevel"/>
    <w:tmpl w:val="390F2EE4"/>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433B6B26"/>
    <w:multiLevelType w:val="multilevel"/>
    <w:tmpl w:val="433B6B26"/>
    <w:lvl w:ilvl="0" w:tentative="0">
      <w:start w:val="2"/>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541D44B4"/>
    <w:multiLevelType w:val="singleLevel"/>
    <w:tmpl w:val="541D44B4"/>
    <w:lvl w:ilvl="0" w:tentative="0">
      <w:start w:val="1"/>
      <w:numFmt w:val="decimal"/>
      <w:suff w:val="nothing"/>
      <w:lvlText w:val="%1、"/>
      <w:lvlJc w:val="left"/>
      <w:rPr>
        <w:rFonts w:ascii="仿宋" w:hAnsi="仿宋" w:eastAsia="仿宋" w:cs="Times New Roman"/>
      </w:rPr>
    </w:lvl>
  </w:abstractNum>
  <w:abstractNum w:abstractNumId="8">
    <w:nsid w:val="5C9F19AE"/>
    <w:multiLevelType w:val="multilevel"/>
    <w:tmpl w:val="5C9F19AE"/>
    <w:lvl w:ilvl="0" w:tentative="0">
      <w:start w:val="1"/>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CF43852"/>
    <w:multiLevelType w:val="multilevel"/>
    <w:tmpl w:val="5CF43852"/>
    <w:lvl w:ilvl="0" w:tentative="0">
      <w:start w:val="2"/>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A25346A"/>
    <w:multiLevelType w:val="multilevel"/>
    <w:tmpl w:val="7A25346A"/>
    <w:lvl w:ilvl="0" w:tentative="0">
      <w:start w:val="3"/>
      <w:numFmt w:val="japaneseCounting"/>
      <w:lvlText w:val="（%1）"/>
      <w:lvlJc w:val="left"/>
      <w:pPr>
        <w:ind w:left="720" w:hanging="720"/>
      </w:pPr>
      <w:rPr>
        <w:rFonts w:hint="default" w:ascii="仿宋" w:hAnsi="仿宋"/>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10"/>
  </w:num>
  <w:num w:numId="3">
    <w:abstractNumId w:val="3"/>
  </w:num>
  <w:num w:numId="4">
    <w:abstractNumId w:val="8"/>
  </w:num>
  <w:num w:numId="5">
    <w:abstractNumId w:val="5"/>
  </w:num>
  <w:num w:numId="6">
    <w:abstractNumId w:val="9"/>
  </w:num>
  <w:num w:numId="7">
    <w:abstractNumId w:val="6"/>
  </w:num>
  <w:num w:numId="8">
    <w:abstractNumId w:val="4"/>
  </w:num>
  <w:num w:numId="9">
    <w:abstractNumId w:val="0"/>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857"/>
    <w:rsid w:val="00000DAA"/>
    <w:rsid w:val="00013698"/>
    <w:rsid w:val="000156AB"/>
    <w:rsid w:val="00025DA1"/>
    <w:rsid w:val="00036A4C"/>
    <w:rsid w:val="000373C5"/>
    <w:rsid w:val="00037BD1"/>
    <w:rsid w:val="000459A5"/>
    <w:rsid w:val="00052274"/>
    <w:rsid w:val="00053D5C"/>
    <w:rsid w:val="0005757E"/>
    <w:rsid w:val="00057AD6"/>
    <w:rsid w:val="00072B3C"/>
    <w:rsid w:val="000737C3"/>
    <w:rsid w:val="000740B9"/>
    <w:rsid w:val="000748FE"/>
    <w:rsid w:val="00076700"/>
    <w:rsid w:val="0008792E"/>
    <w:rsid w:val="000920BE"/>
    <w:rsid w:val="000A1A1D"/>
    <w:rsid w:val="000A4F1D"/>
    <w:rsid w:val="000B5C0E"/>
    <w:rsid w:val="000B665F"/>
    <w:rsid w:val="000B72C8"/>
    <w:rsid w:val="000C37A1"/>
    <w:rsid w:val="000D2B40"/>
    <w:rsid w:val="000D59E6"/>
    <w:rsid w:val="000E1020"/>
    <w:rsid w:val="00101FA0"/>
    <w:rsid w:val="00102F23"/>
    <w:rsid w:val="0010727F"/>
    <w:rsid w:val="00107FCB"/>
    <w:rsid w:val="001108D3"/>
    <w:rsid w:val="001116FE"/>
    <w:rsid w:val="00112677"/>
    <w:rsid w:val="0011733E"/>
    <w:rsid w:val="00120122"/>
    <w:rsid w:val="00125080"/>
    <w:rsid w:val="0012545E"/>
    <w:rsid w:val="00134A15"/>
    <w:rsid w:val="00136409"/>
    <w:rsid w:val="00137542"/>
    <w:rsid w:val="00141AAB"/>
    <w:rsid w:val="001463F0"/>
    <w:rsid w:val="00146C06"/>
    <w:rsid w:val="0014716E"/>
    <w:rsid w:val="0015312F"/>
    <w:rsid w:val="00155B0F"/>
    <w:rsid w:val="001636C9"/>
    <w:rsid w:val="0017292D"/>
    <w:rsid w:val="00175F47"/>
    <w:rsid w:val="00177A36"/>
    <w:rsid w:val="00190707"/>
    <w:rsid w:val="001A25E6"/>
    <w:rsid w:val="001A2D89"/>
    <w:rsid w:val="001B15B1"/>
    <w:rsid w:val="001B1DA5"/>
    <w:rsid w:val="001C029E"/>
    <w:rsid w:val="001C16D0"/>
    <w:rsid w:val="001C2B22"/>
    <w:rsid w:val="001C32E4"/>
    <w:rsid w:val="001C6F01"/>
    <w:rsid w:val="001E5730"/>
    <w:rsid w:val="001F51C0"/>
    <w:rsid w:val="001F6D42"/>
    <w:rsid w:val="002076E3"/>
    <w:rsid w:val="00207A80"/>
    <w:rsid w:val="002107E2"/>
    <w:rsid w:val="00211738"/>
    <w:rsid w:val="002278A9"/>
    <w:rsid w:val="002316D7"/>
    <w:rsid w:val="00232896"/>
    <w:rsid w:val="00233B5B"/>
    <w:rsid w:val="00234911"/>
    <w:rsid w:val="00245BBA"/>
    <w:rsid w:val="0025188A"/>
    <w:rsid w:val="00252A53"/>
    <w:rsid w:val="00255C76"/>
    <w:rsid w:val="002641F1"/>
    <w:rsid w:val="002654D9"/>
    <w:rsid w:val="00265D18"/>
    <w:rsid w:val="0027088C"/>
    <w:rsid w:val="00270CC9"/>
    <w:rsid w:val="00271F52"/>
    <w:rsid w:val="0027406E"/>
    <w:rsid w:val="0027414B"/>
    <w:rsid w:val="00277CAC"/>
    <w:rsid w:val="0028381B"/>
    <w:rsid w:val="00285DE0"/>
    <w:rsid w:val="0028745E"/>
    <w:rsid w:val="002902DA"/>
    <w:rsid w:val="00292C7C"/>
    <w:rsid w:val="002957B2"/>
    <w:rsid w:val="00296B7A"/>
    <w:rsid w:val="002A21A4"/>
    <w:rsid w:val="002A3C1B"/>
    <w:rsid w:val="002C0082"/>
    <w:rsid w:val="002C04EB"/>
    <w:rsid w:val="002C4808"/>
    <w:rsid w:val="002C4984"/>
    <w:rsid w:val="002E2733"/>
    <w:rsid w:val="002E2EE7"/>
    <w:rsid w:val="002E4EA3"/>
    <w:rsid w:val="002E7600"/>
    <w:rsid w:val="002F0CD0"/>
    <w:rsid w:val="002F45E0"/>
    <w:rsid w:val="002F689B"/>
    <w:rsid w:val="00302ED1"/>
    <w:rsid w:val="00310FFB"/>
    <w:rsid w:val="0031408B"/>
    <w:rsid w:val="003153BC"/>
    <w:rsid w:val="0032073F"/>
    <w:rsid w:val="00324592"/>
    <w:rsid w:val="00324F4B"/>
    <w:rsid w:val="00327DA8"/>
    <w:rsid w:val="0033320E"/>
    <w:rsid w:val="00334095"/>
    <w:rsid w:val="003455F1"/>
    <w:rsid w:val="0034588F"/>
    <w:rsid w:val="00350BDF"/>
    <w:rsid w:val="00351870"/>
    <w:rsid w:val="0035371E"/>
    <w:rsid w:val="003578F5"/>
    <w:rsid w:val="00360C3C"/>
    <w:rsid w:val="00362886"/>
    <w:rsid w:val="00365729"/>
    <w:rsid w:val="0036603E"/>
    <w:rsid w:val="003720E7"/>
    <w:rsid w:val="0037273F"/>
    <w:rsid w:val="00384AB3"/>
    <w:rsid w:val="00385CC5"/>
    <w:rsid w:val="003971BA"/>
    <w:rsid w:val="003978AC"/>
    <w:rsid w:val="003A1506"/>
    <w:rsid w:val="003A1984"/>
    <w:rsid w:val="003A19A1"/>
    <w:rsid w:val="003A4948"/>
    <w:rsid w:val="003B18CA"/>
    <w:rsid w:val="003B2D70"/>
    <w:rsid w:val="003B5743"/>
    <w:rsid w:val="003B71EE"/>
    <w:rsid w:val="003C0CBE"/>
    <w:rsid w:val="003C0F9D"/>
    <w:rsid w:val="003C1D94"/>
    <w:rsid w:val="003C5D5B"/>
    <w:rsid w:val="003D4747"/>
    <w:rsid w:val="003F1E7A"/>
    <w:rsid w:val="003F2E55"/>
    <w:rsid w:val="003F670B"/>
    <w:rsid w:val="003F68FA"/>
    <w:rsid w:val="00404E7C"/>
    <w:rsid w:val="0040597D"/>
    <w:rsid w:val="004071B6"/>
    <w:rsid w:val="00407DAE"/>
    <w:rsid w:val="00412BF6"/>
    <w:rsid w:val="00420E8C"/>
    <w:rsid w:val="0042234B"/>
    <w:rsid w:val="0042337D"/>
    <w:rsid w:val="00427CDB"/>
    <w:rsid w:val="004377EE"/>
    <w:rsid w:val="00440076"/>
    <w:rsid w:val="00441ED4"/>
    <w:rsid w:val="004511CA"/>
    <w:rsid w:val="0046131B"/>
    <w:rsid w:val="00461F60"/>
    <w:rsid w:val="00462BD7"/>
    <w:rsid w:val="004661C0"/>
    <w:rsid w:val="004670EF"/>
    <w:rsid w:val="0047527B"/>
    <w:rsid w:val="00484EAC"/>
    <w:rsid w:val="00490D83"/>
    <w:rsid w:val="0049454C"/>
    <w:rsid w:val="004965E0"/>
    <w:rsid w:val="0049740A"/>
    <w:rsid w:val="004A2D69"/>
    <w:rsid w:val="004A37AE"/>
    <w:rsid w:val="004A42C2"/>
    <w:rsid w:val="004A5EBD"/>
    <w:rsid w:val="004A600C"/>
    <w:rsid w:val="004A60BC"/>
    <w:rsid w:val="004A6949"/>
    <w:rsid w:val="004A7A35"/>
    <w:rsid w:val="004B01A8"/>
    <w:rsid w:val="004B1DFD"/>
    <w:rsid w:val="004B5D09"/>
    <w:rsid w:val="004B7A8A"/>
    <w:rsid w:val="004C09E6"/>
    <w:rsid w:val="004C3259"/>
    <w:rsid w:val="004C7D35"/>
    <w:rsid w:val="004D1757"/>
    <w:rsid w:val="004E0010"/>
    <w:rsid w:val="004E1315"/>
    <w:rsid w:val="004E3E68"/>
    <w:rsid w:val="004E74EC"/>
    <w:rsid w:val="004F0FA4"/>
    <w:rsid w:val="004F23F4"/>
    <w:rsid w:val="004F3993"/>
    <w:rsid w:val="004F3F55"/>
    <w:rsid w:val="004F76C0"/>
    <w:rsid w:val="0050018D"/>
    <w:rsid w:val="00501B25"/>
    <w:rsid w:val="005029D6"/>
    <w:rsid w:val="00522304"/>
    <w:rsid w:val="005309F5"/>
    <w:rsid w:val="005335B4"/>
    <w:rsid w:val="00534FFF"/>
    <w:rsid w:val="00547AEC"/>
    <w:rsid w:val="00547C26"/>
    <w:rsid w:val="005515BE"/>
    <w:rsid w:val="00562031"/>
    <w:rsid w:val="005712AF"/>
    <w:rsid w:val="005722C0"/>
    <w:rsid w:val="005733E9"/>
    <w:rsid w:val="00575064"/>
    <w:rsid w:val="005844FC"/>
    <w:rsid w:val="005875C1"/>
    <w:rsid w:val="005952FC"/>
    <w:rsid w:val="005A3562"/>
    <w:rsid w:val="005A5457"/>
    <w:rsid w:val="005B0E08"/>
    <w:rsid w:val="005B328E"/>
    <w:rsid w:val="005B4915"/>
    <w:rsid w:val="005B5860"/>
    <w:rsid w:val="005C49C5"/>
    <w:rsid w:val="005C7339"/>
    <w:rsid w:val="005D11F6"/>
    <w:rsid w:val="005D51A8"/>
    <w:rsid w:val="005E4AB4"/>
    <w:rsid w:val="005E5CBE"/>
    <w:rsid w:val="005E665E"/>
    <w:rsid w:val="005E693A"/>
    <w:rsid w:val="005F66C1"/>
    <w:rsid w:val="006005F5"/>
    <w:rsid w:val="006023D5"/>
    <w:rsid w:val="00603B30"/>
    <w:rsid w:val="0060718E"/>
    <w:rsid w:val="00610155"/>
    <w:rsid w:val="0061480B"/>
    <w:rsid w:val="006161E5"/>
    <w:rsid w:val="0061694E"/>
    <w:rsid w:val="00617239"/>
    <w:rsid w:val="00623BB1"/>
    <w:rsid w:val="00631198"/>
    <w:rsid w:val="00632357"/>
    <w:rsid w:val="00635850"/>
    <w:rsid w:val="00636C68"/>
    <w:rsid w:val="00641CB4"/>
    <w:rsid w:val="0064276C"/>
    <w:rsid w:val="00657BFB"/>
    <w:rsid w:val="0067510F"/>
    <w:rsid w:val="006840A6"/>
    <w:rsid w:val="006842C0"/>
    <w:rsid w:val="00685510"/>
    <w:rsid w:val="0068642B"/>
    <w:rsid w:val="0068696D"/>
    <w:rsid w:val="00695843"/>
    <w:rsid w:val="00696205"/>
    <w:rsid w:val="00697C76"/>
    <w:rsid w:val="006A0137"/>
    <w:rsid w:val="006A2CC3"/>
    <w:rsid w:val="006B2101"/>
    <w:rsid w:val="006C065E"/>
    <w:rsid w:val="006C0723"/>
    <w:rsid w:val="006C2CF4"/>
    <w:rsid w:val="006C7271"/>
    <w:rsid w:val="006C78D0"/>
    <w:rsid w:val="006C7A27"/>
    <w:rsid w:val="006D0AC9"/>
    <w:rsid w:val="006D36F1"/>
    <w:rsid w:val="006E735D"/>
    <w:rsid w:val="006F27B0"/>
    <w:rsid w:val="0070107B"/>
    <w:rsid w:val="00701745"/>
    <w:rsid w:val="00702EFB"/>
    <w:rsid w:val="00705315"/>
    <w:rsid w:val="0071161E"/>
    <w:rsid w:val="007161B4"/>
    <w:rsid w:val="00721109"/>
    <w:rsid w:val="007213E8"/>
    <w:rsid w:val="00721AC8"/>
    <w:rsid w:val="007232CA"/>
    <w:rsid w:val="00730FD6"/>
    <w:rsid w:val="00732169"/>
    <w:rsid w:val="00751CBA"/>
    <w:rsid w:val="0075712E"/>
    <w:rsid w:val="00757645"/>
    <w:rsid w:val="00771C16"/>
    <w:rsid w:val="00784E4A"/>
    <w:rsid w:val="00785914"/>
    <w:rsid w:val="007955A3"/>
    <w:rsid w:val="00796EA7"/>
    <w:rsid w:val="007A4023"/>
    <w:rsid w:val="007A60BF"/>
    <w:rsid w:val="007B5BA2"/>
    <w:rsid w:val="007C7DCE"/>
    <w:rsid w:val="007D1F70"/>
    <w:rsid w:val="007E2903"/>
    <w:rsid w:val="007E3457"/>
    <w:rsid w:val="007E727C"/>
    <w:rsid w:val="007F2EBB"/>
    <w:rsid w:val="007F4274"/>
    <w:rsid w:val="00806B5D"/>
    <w:rsid w:val="00817BA4"/>
    <w:rsid w:val="00821294"/>
    <w:rsid w:val="0082210D"/>
    <w:rsid w:val="00824A46"/>
    <w:rsid w:val="00825EBF"/>
    <w:rsid w:val="00826E3D"/>
    <w:rsid w:val="008340EE"/>
    <w:rsid w:val="00840759"/>
    <w:rsid w:val="0084114C"/>
    <w:rsid w:val="00853E4C"/>
    <w:rsid w:val="008560A8"/>
    <w:rsid w:val="00867B79"/>
    <w:rsid w:val="00874686"/>
    <w:rsid w:val="00876AD4"/>
    <w:rsid w:val="00884DFB"/>
    <w:rsid w:val="008867A6"/>
    <w:rsid w:val="0089289C"/>
    <w:rsid w:val="00896C7F"/>
    <w:rsid w:val="008A3523"/>
    <w:rsid w:val="008A5857"/>
    <w:rsid w:val="008A593D"/>
    <w:rsid w:val="008A7122"/>
    <w:rsid w:val="008A7268"/>
    <w:rsid w:val="008C0DD7"/>
    <w:rsid w:val="008C505D"/>
    <w:rsid w:val="008C5597"/>
    <w:rsid w:val="008D3096"/>
    <w:rsid w:val="008D7154"/>
    <w:rsid w:val="008E42E8"/>
    <w:rsid w:val="008F1A54"/>
    <w:rsid w:val="008F5800"/>
    <w:rsid w:val="008F66E1"/>
    <w:rsid w:val="009033F0"/>
    <w:rsid w:val="0090543B"/>
    <w:rsid w:val="00910907"/>
    <w:rsid w:val="009130C2"/>
    <w:rsid w:val="0092138D"/>
    <w:rsid w:val="00926B91"/>
    <w:rsid w:val="00926E97"/>
    <w:rsid w:val="00930474"/>
    <w:rsid w:val="0093207F"/>
    <w:rsid w:val="009438FB"/>
    <w:rsid w:val="00944E16"/>
    <w:rsid w:val="00946B6F"/>
    <w:rsid w:val="00950E20"/>
    <w:rsid w:val="009525C1"/>
    <w:rsid w:val="00962DB4"/>
    <w:rsid w:val="009631A1"/>
    <w:rsid w:val="00965D84"/>
    <w:rsid w:val="009664A8"/>
    <w:rsid w:val="009732E9"/>
    <w:rsid w:val="00973582"/>
    <w:rsid w:val="00973F7F"/>
    <w:rsid w:val="00984AC0"/>
    <w:rsid w:val="00986FAD"/>
    <w:rsid w:val="00991C74"/>
    <w:rsid w:val="0099513A"/>
    <w:rsid w:val="009A0B3C"/>
    <w:rsid w:val="009A24CD"/>
    <w:rsid w:val="009A2DF0"/>
    <w:rsid w:val="009A7FF0"/>
    <w:rsid w:val="009B6902"/>
    <w:rsid w:val="009C59B5"/>
    <w:rsid w:val="009C61B1"/>
    <w:rsid w:val="009D3839"/>
    <w:rsid w:val="009D6169"/>
    <w:rsid w:val="009E2899"/>
    <w:rsid w:val="009F5534"/>
    <w:rsid w:val="00A00763"/>
    <w:rsid w:val="00A0424E"/>
    <w:rsid w:val="00A12D05"/>
    <w:rsid w:val="00A1350F"/>
    <w:rsid w:val="00A13528"/>
    <w:rsid w:val="00A1581F"/>
    <w:rsid w:val="00A16F38"/>
    <w:rsid w:val="00A31151"/>
    <w:rsid w:val="00A37225"/>
    <w:rsid w:val="00A4091D"/>
    <w:rsid w:val="00A44F14"/>
    <w:rsid w:val="00A47726"/>
    <w:rsid w:val="00A47861"/>
    <w:rsid w:val="00A51257"/>
    <w:rsid w:val="00A53E53"/>
    <w:rsid w:val="00A56118"/>
    <w:rsid w:val="00A578A9"/>
    <w:rsid w:val="00A6132B"/>
    <w:rsid w:val="00A61FC8"/>
    <w:rsid w:val="00A73A13"/>
    <w:rsid w:val="00A73B7F"/>
    <w:rsid w:val="00A7628B"/>
    <w:rsid w:val="00A90FD6"/>
    <w:rsid w:val="00A91FA5"/>
    <w:rsid w:val="00A9331B"/>
    <w:rsid w:val="00A940F5"/>
    <w:rsid w:val="00A978F3"/>
    <w:rsid w:val="00AA342A"/>
    <w:rsid w:val="00AB15A4"/>
    <w:rsid w:val="00AB23AE"/>
    <w:rsid w:val="00AB32ED"/>
    <w:rsid w:val="00AB4B12"/>
    <w:rsid w:val="00AB6397"/>
    <w:rsid w:val="00AC3D87"/>
    <w:rsid w:val="00AC49D7"/>
    <w:rsid w:val="00AC4D29"/>
    <w:rsid w:val="00AC4FD0"/>
    <w:rsid w:val="00AC6348"/>
    <w:rsid w:val="00AD59C4"/>
    <w:rsid w:val="00AE4DEE"/>
    <w:rsid w:val="00AF1B37"/>
    <w:rsid w:val="00AF2FA4"/>
    <w:rsid w:val="00AF43C7"/>
    <w:rsid w:val="00AF4EA8"/>
    <w:rsid w:val="00AF75F7"/>
    <w:rsid w:val="00B03881"/>
    <w:rsid w:val="00B05397"/>
    <w:rsid w:val="00B06D51"/>
    <w:rsid w:val="00B11E14"/>
    <w:rsid w:val="00B34D4C"/>
    <w:rsid w:val="00B3633E"/>
    <w:rsid w:val="00B36402"/>
    <w:rsid w:val="00B5376A"/>
    <w:rsid w:val="00B551B6"/>
    <w:rsid w:val="00B5622B"/>
    <w:rsid w:val="00B628F4"/>
    <w:rsid w:val="00B62DD3"/>
    <w:rsid w:val="00B6589C"/>
    <w:rsid w:val="00B731E0"/>
    <w:rsid w:val="00B7776C"/>
    <w:rsid w:val="00B970BA"/>
    <w:rsid w:val="00BA03CD"/>
    <w:rsid w:val="00BA2A87"/>
    <w:rsid w:val="00BB09B3"/>
    <w:rsid w:val="00BB294D"/>
    <w:rsid w:val="00BB6A38"/>
    <w:rsid w:val="00BC3D3B"/>
    <w:rsid w:val="00BC55B6"/>
    <w:rsid w:val="00BD0A4A"/>
    <w:rsid w:val="00BD1243"/>
    <w:rsid w:val="00BD1D2F"/>
    <w:rsid w:val="00BD6EE7"/>
    <w:rsid w:val="00BD794B"/>
    <w:rsid w:val="00BE3606"/>
    <w:rsid w:val="00BF7D8A"/>
    <w:rsid w:val="00C009D0"/>
    <w:rsid w:val="00C02D5B"/>
    <w:rsid w:val="00C12931"/>
    <w:rsid w:val="00C13501"/>
    <w:rsid w:val="00C154AB"/>
    <w:rsid w:val="00C22A85"/>
    <w:rsid w:val="00C3229E"/>
    <w:rsid w:val="00C32687"/>
    <w:rsid w:val="00C3543D"/>
    <w:rsid w:val="00C3655A"/>
    <w:rsid w:val="00C434AE"/>
    <w:rsid w:val="00C44971"/>
    <w:rsid w:val="00C56519"/>
    <w:rsid w:val="00C56DCF"/>
    <w:rsid w:val="00C57824"/>
    <w:rsid w:val="00C57BC5"/>
    <w:rsid w:val="00C60857"/>
    <w:rsid w:val="00C618F2"/>
    <w:rsid w:val="00C647A9"/>
    <w:rsid w:val="00C65AB0"/>
    <w:rsid w:val="00C65B91"/>
    <w:rsid w:val="00C7220D"/>
    <w:rsid w:val="00C75EB5"/>
    <w:rsid w:val="00C774BF"/>
    <w:rsid w:val="00C84E42"/>
    <w:rsid w:val="00C93FA0"/>
    <w:rsid w:val="00C94324"/>
    <w:rsid w:val="00CA26A8"/>
    <w:rsid w:val="00CB44FA"/>
    <w:rsid w:val="00CB59C8"/>
    <w:rsid w:val="00CC062D"/>
    <w:rsid w:val="00CC6ECA"/>
    <w:rsid w:val="00CD096B"/>
    <w:rsid w:val="00CD16AB"/>
    <w:rsid w:val="00CD22E3"/>
    <w:rsid w:val="00CD570D"/>
    <w:rsid w:val="00CD6A09"/>
    <w:rsid w:val="00CE26B4"/>
    <w:rsid w:val="00CE7A64"/>
    <w:rsid w:val="00CF31EA"/>
    <w:rsid w:val="00CF4DFD"/>
    <w:rsid w:val="00CF4F12"/>
    <w:rsid w:val="00D06E9E"/>
    <w:rsid w:val="00D076B6"/>
    <w:rsid w:val="00D07BDE"/>
    <w:rsid w:val="00D07C82"/>
    <w:rsid w:val="00D15FB7"/>
    <w:rsid w:val="00D21198"/>
    <w:rsid w:val="00D2240E"/>
    <w:rsid w:val="00D22ABB"/>
    <w:rsid w:val="00D31E7E"/>
    <w:rsid w:val="00D352C6"/>
    <w:rsid w:val="00D35FEA"/>
    <w:rsid w:val="00D4495E"/>
    <w:rsid w:val="00D45403"/>
    <w:rsid w:val="00D52D0D"/>
    <w:rsid w:val="00D537B5"/>
    <w:rsid w:val="00D57D7D"/>
    <w:rsid w:val="00D64335"/>
    <w:rsid w:val="00D64746"/>
    <w:rsid w:val="00D663C6"/>
    <w:rsid w:val="00D67D35"/>
    <w:rsid w:val="00D735CC"/>
    <w:rsid w:val="00D748F1"/>
    <w:rsid w:val="00D83261"/>
    <w:rsid w:val="00D83F46"/>
    <w:rsid w:val="00D85B68"/>
    <w:rsid w:val="00D916FC"/>
    <w:rsid w:val="00DA0245"/>
    <w:rsid w:val="00DA21B4"/>
    <w:rsid w:val="00DA28CF"/>
    <w:rsid w:val="00DB0035"/>
    <w:rsid w:val="00DB1D0E"/>
    <w:rsid w:val="00DB3833"/>
    <w:rsid w:val="00DC0371"/>
    <w:rsid w:val="00DC5DFA"/>
    <w:rsid w:val="00DD01C3"/>
    <w:rsid w:val="00DD3A79"/>
    <w:rsid w:val="00DD78E3"/>
    <w:rsid w:val="00DE3EC7"/>
    <w:rsid w:val="00DE5676"/>
    <w:rsid w:val="00DE5BB4"/>
    <w:rsid w:val="00DE776C"/>
    <w:rsid w:val="00DF3725"/>
    <w:rsid w:val="00DF3B24"/>
    <w:rsid w:val="00DF7FC6"/>
    <w:rsid w:val="00E033DC"/>
    <w:rsid w:val="00E0481E"/>
    <w:rsid w:val="00E069B0"/>
    <w:rsid w:val="00E16A6D"/>
    <w:rsid w:val="00E229A0"/>
    <w:rsid w:val="00E243A1"/>
    <w:rsid w:val="00E243EF"/>
    <w:rsid w:val="00E332BB"/>
    <w:rsid w:val="00E35C41"/>
    <w:rsid w:val="00E4160D"/>
    <w:rsid w:val="00E42A8E"/>
    <w:rsid w:val="00E50DB0"/>
    <w:rsid w:val="00E5391B"/>
    <w:rsid w:val="00E64D79"/>
    <w:rsid w:val="00E67069"/>
    <w:rsid w:val="00E703D0"/>
    <w:rsid w:val="00E720A5"/>
    <w:rsid w:val="00E83CC9"/>
    <w:rsid w:val="00E867C5"/>
    <w:rsid w:val="00E872E1"/>
    <w:rsid w:val="00EA1559"/>
    <w:rsid w:val="00EA1823"/>
    <w:rsid w:val="00EA1B81"/>
    <w:rsid w:val="00EA24B3"/>
    <w:rsid w:val="00EA4CFF"/>
    <w:rsid w:val="00EA7F19"/>
    <w:rsid w:val="00EB13E0"/>
    <w:rsid w:val="00EB4C8B"/>
    <w:rsid w:val="00EB6B95"/>
    <w:rsid w:val="00EC0F01"/>
    <w:rsid w:val="00EC1C93"/>
    <w:rsid w:val="00ED30E0"/>
    <w:rsid w:val="00ED62D6"/>
    <w:rsid w:val="00EE130F"/>
    <w:rsid w:val="00EE3F7B"/>
    <w:rsid w:val="00EE5F51"/>
    <w:rsid w:val="00EE6604"/>
    <w:rsid w:val="00EE7746"/>
    <w:rsid w:val="00EF0445"/>
    <w:rsid w:val="00EF5CA7"/>
    <w:rsid w:val="00F020E5"/>
    <w:rsid w:val="00F05062"/>
    <w:rsid w:val="00F0522B"/>
    <w:rsid w:val="00F10B34"/>
    <w:rsid w:val="00F12203"/>
    <w:rsid w:val="00F1260D"/>
    <w:rsid w:val="00F25B73"/>
    <w:rsid w:val="00F322CA"/>
    <w:rsid w:val="00F3792E"/>
    <w:rsid w:val="00F40504"/>
    <w:rsid w:val="00F479FA"/>
    <w:rsid w:val="00F47B5D"/>
    <w:rsid w:val="00F50A93"/>
    <w:rsid w:val="00F5356C"/>
    <w:rsid w:val="00F61C87"/>
    <w:rsid w:val="00F628C7"/>
    <w:rsid w:val="00F63A95"/>
    <w:rsid w:val="00F81CE0"/>
    <w:rsid w:val="00F92DEE"/>
    <w:rsid w:val="00FA69C8"/>
    <w:rsid w:val="00FB1114"/>
    <w:rsid w:val="00FB3BBD"/>
    <w:rsid w:val="00FC51CA"/>
    <w:rsid w:val="00FD07DE"/>
    <w:rsid w:val="00FD1E4D"/>
    <w:rsid w:val="00FD35E7"/>
    <w:rsid w:val="00FD3A21"/>
    <w:rsid w:val="00FD48D7"/>
    <w:rsid w:val="00FD6FAE"/>
    <w:rsid w:val="00FE297B"/>
    <w:rsid w:val="0D14648D"/>
    <w:rsid w:val="0DB559E3"/>
    <w:rsid w:val="6095503B"/>
    <w:rsid w:val="70A75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qFormat="1" w:uiPriority="39" w:semiHidden="0" w:name="toc 4"/>
    <w:lsdException w:uiPriority="39" w:semiHidden="0" w:name="toc 5"/>
    <w:lsdException w:qFormat="1" w:uiPriority="39" w:semiHidden="0" w:name="toc 6"/>
    <w:lsdException w:qFormat="1" w:uiPriority="39" w:semiHidden="0" w:name="toc 7"/>
    <w:lsdException w:uiPriority="39" w:semiHidden="0" w:name="toc 8"/>
    <w:lsdException w:qFormat="1" w:uiPriority="39" w:semiHidden="0" w:name="toc 9"/>
    <w:lsdException w:uiPriority="99" w:name="Normal Indent"/>
    <w:lsdException w:uiPriority="99" w:name="footnote text"/>
    <w:lsdException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24"/>
      <w:szCs w:val="24"/>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36"/>
      <w:szCs w:val="44"/>
    </w:rPr>
  </w:style>
  <w:style w:type="paragraph" w:styleId="3">
    <w:name w:val="heading 2"/>
    <w:basedOn w:val="1"/>
    <w:next w:val="1"/>
    <w:link w:val="31"/>
    <w:unhideWhenUsed/>
    <w:qFormat/>
    <w:uiPriority w:val="9"/>
    <w:pPr>
      <w:keepNext/>
      <w:keepLines/>
      <w:spacing w:before="260" w:after="260" w:line="416" w:lineRule="auto"/>
      <w:outlineLvl w:val="1"/>
    </w:pPr>
    <w:rPr>
      <w:rFonts w:ascii="Cambria" w:hAnsi="Cambria"/>
      <w:b/>
      <w:bCs/>
      <w:sz w:val="30"/>
      <w:szCs w:val="32"/>
    </w:rPr>
  </w:style>
  <w:style w:type="paragraph" w:styleId="4">
    <w:name w:val="heading 3"/>
    <w:basedOn w:val="1"/>
    <w:next w:val="1"/>
    <w:link w:val="32"/>
    <w:unhideWhenUsed/>
    <w:qFormat/>
    <w:uiPriority w:val="9"/>
    <w:pPr>
      <w:keepNext/>
      <w:keepLines/>
      <w:spacing w:before="260" w:after="260" w:line="416" w:lineRule="auto"/>
      <w:outlineLvl w:val="2"/>
    </w:pPr>
    <w:rPr>
      <w:b/>
      <w:bCs/>
      <w:szCs w:val="32"/>
    </w:rPr>
  </w:style>
  <w:style w:type="paragraph" w:styleId="5">
    <w:name w:val="heading 4"/>
    <w:basedOn w:val="1"/>
    <w:next w:val="1"/>
    <w:link w:val="33"/>
    <w:unhideWhenUsed/>
    <w:qFormat/>
    <w:uiPriority w:val="9"/>
    <w:pPr>
      <w:keepNext/>
      <w:keepLines/>
      <w:spacing w:before="280" w:after="290" w:line="376" w:lineRule="auto"/>
      <w:outlineLvl w:val="3"/>
    </w:pPr>
    <w:rPr>
      <w:rFonts w:ascii="仿宋" w:hAnsi="仿宋" w:cstheme="majorBidi"/>
      <w:bCs/>
      <w:kern w:val="0"/>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Layout w:type="fixed"/>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rPr>
      <w:rFonts w:asciiTheme="minorHAnsi" w:hAnsiTheme="minorHAnsi" w:eastAsiaTheme="minorEastAsia" w:cstheme="minorBidi"/>
      <w:sz w:val="21"/>
      <w:szCs w:val="22"/>
    </w:rPr>
  </w:style>
  <w:style w:type="paragraph" w:styleId="7">
    <w:name w:val="Document Map"/>
    <w:basedOn w:val="1"/>
    <w:link w:val="36"/>
    <w:qFormat/>
    <w:uiPriority w:val="0"/>
    <w:rPr>
      <w:rFonts w:ascii="宋体"/>
      <w:sz w:val="18"/>
      <w:szCs w:val="18"/>
    </w:rPr>
  </w:style>
  <w:style w:type="paragraph" w:styleId="8">
    <w:name w:val="annotation text"/>
    <w:basedOn w:val="1"/>
    <w:link w:val="49"/>
    <w:uiPriority w:val="0"/>
    <w:pPr>
      <w:jc w:val="left"/>
    </w:pPr>
  </w:style>
  <w:style w:type="paragraph" w:styleId="9">
    <w:name w:val="toc 5"/>
    <w:basedOn w:val="1"/>
    <w:next w:val="1"/>
    <w:unhideWhenUsed/>
    <w:uiPriority w:val="39"/>
    <w:pPr>
      <w:ind w:left="1680" w:leftChars="800"/>
    </w:pPr>
    <w:rPr>
      <w:rFonts w:asciiTheme="minorHAnsi" w:hAnsiTheme="minorHAnsi" w:eastAsiaTheme="minorEastAsia" w:cstheme="minorBidi"/>
      <w:sz w:val="21"/>
      <w:szCs w:val="22"/>
    </w:rPr>
  </w:style>
  <w:style w:type="paragraph" w:styleId="10">
    <w:name w:val="toc 3"/>
    <w:basedOn w:val="1"/>
    <w:next w:val="1"/>
    <w:unhideWhenUsed/>
    <w:qFormat/>
    <w:uiPriority w:val="39"/>
    <w:pPr>
      <w:ind w:left="840" w:leftChars="400"/>
    </w:pPr>
  </w:style>
  <w:style w:type="paragraph" w:styleId="11">
    <w:name w:val="toc 8"/>
    <w:basedOn w:val="1"/>
    <w:next w:val="1"/>
    <w:unhideWhenUsed/>
    <w:uiPriority w:val="39"/>
    <w:pPr>
      <w:ind w:left="2940" w:leftChars="1400"/>
    </w:pPr>
    <w:rPr>
      <w:rFonts w:asciiTheme="minorHAnsi" w:hAnsiTheme="minorHAnsi" w:eastAsiaTheme="minorEastAsia" w:cstheme="minorBidi"/>
      <w:sz w:val="21"/>
      <w:szCs w:val="22"/>
    </w:rPr>
  </w:style>
  <w:style w:type="paragraph" w:styleId="12">
    <w:name w:val="Balloon Text"/>
    <w:basedOn w:val="1"/>
    <w:link w:val="43"/>
    <w:uiPriority w:val="0"/>
    <w:rPr>
      <w:sz w:val="18"/>
      <w:szCs w:val="18"/>
    </w:rPr>
  </w:style>
  <w:style w:type="paragraph" w:styleId="13">
    <w:name w:val="footer"/>
    <w:basedOn w:val="1"/>
    <w:link w:val="35"/>
    <w:unhideWhenUsed/>
    <w:qFormat/>
    <w:uiPriority w:val="99"/>
    <w:pPr>
      <w:tabs>
        <w:tab w:val="center" w:pos="4153"/>
        <w:tab w:val="right" w:pos="8306"/>
      </w:tabs>
      <w:snapToGrid w:val="0"/>
      <w:jc w:val="left"/>
    </w:pPr>
    <w:rPr>
      <w:sz w:val="18"/>
      <w:szCs w:val="18"/>
    </w:rPr>
  </w:style>
  <w:style w:type="paragraph" w:styleId="14">
    <w:name w:val="header"/>
    <w:basedOn w:val="1"/>
    <w:link w:val="34"/>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4"/>
    <w:basedOn w:val="1"/>
    <w:next w:val="1"/>
    <w:unhideWhenUsed/>
    <w:qFormat/>
    <w:uiPriority w:val="39"/>
    <w:pPr>
      <w:ind w:left="1260" w:leftChars="600"/>
    </w:pPr>
    <w:rPr>
      <w:rFonts w:asciiTheme="minorHAnsi" w:hAnsiTheme="minorHAnsi" w:eastAsiaTheme="minorEastAsia" w:cstheme="minorBidi"/>
      <w:sz w:val="21"/>
      <w:szCs w:val="22"/>
    </w:rPr>
  </w:style>
  <w:style w:type="paragraph" w:styleId="17">
    <w:name w:val="toc 6"/>
    <w:basedOn w:val="1"/>
    <w:next w:val="1"/>
    <w:unhideWhenUsed/>
    <w:qFormat/>
    <w:uiPriority w:val="39"/>
    <w:pPr>
      <w:ind w:left="2100" w:leftChars="1000"/>
    </w:pPr>
    <w:rPr>
      <w:rFonts w:asciiTheme="minorHAnsi" w:hAnsiTheme="minorHAnsi" w:eastAsiaTheme="minorEastAsia" w:cstheme="minorBidi"/>
      <w:sz w:val="21"/>
      <w:szCs w:val="22"/>
    </w:rPr>
  </w:style>
  <w:style w:type="paragraph" w:styleId="18">
    <w:name w:val="Body Text Indent 3"/>
    <w:basedOn w:val="1"/>
    <w:link w:val="37"/>
    <w:unhideWhenUsed/>
    <w:qFormat/>
    <w:uiPriority w:val="99"/>
    <w:pPr>
      <w:autoSpaceDE w:val="0"/>
      <w:autoSpaceDN w:val="0"/>
      <w:adjustRightInd w:val="0"/>
      <w:spacing w:line="400" w:lineRule="exact"/>
      <w:ind w:firstLine="420" w:firstLineChars="200"/>
      <w:jc w:val="left"/>
    </w:pPr>
    <w:rPr>
      <w:color w:val="333333"/>
      <w:szCs w:val="21"/>
    </w:rPr>
  </w:style>
  <w:style w:type="paragraph" w:styleId="19">
    <w:name w:val="toc 2"/>
    <w:basedOn w:val="1"/>
    <w:next w:val="1"/>
    <w:unhideWhenUsed/>
    <w:uiPriority w:val="39"/>
    <w:pPr>
      <w:ind w:left="420" w:leftChars="200"/>
    </w:pPr>
  </w:style>
  <w:style w:type="paragraph" w:styleId="20">
    <w:name w:val="toc 9"/>
    <w:basedOn w:val="1"/>
    <w:next w:val="1"/>
    <w:unhideWhenUsed/>
    <w:qFormat/>
    <w:uiPriority w:val="39"/>
    <w:pPr>
      <w:ind w:left="3360" w:leftChars="1600"/>
    </w:pPr>
    <w:rPr>
      <w:rFonts w:asciiTheme="minorHAnsi" w:hAnsiTheme="minorHAnsi" w:eastAsiaTheme="minorEastAsia" w:cstheme="minorBidi"/>
      <w:sz w:val="21"/>
      <w:szCs w:val="22"/>
    </w:rPr>
  </w:style>
  <w:style w:type="paragraph" w:styleId="21">
    <w:name w:val="Normal (Web)"/>
    <w:basedOn w:val="1"/>
    <w:unhideWhenUsed/>
    <w:qFormat/>
    <w:uiPriority w:val="99"/>
    <w:pPr>
      <w:widowControl/>
      <w:spacing w:before="100" w:beforeAutospacing="1" w:after="100" w:afterAutospacing="1"/>
      <w:jc w:val="left"/>
    </w:pPr>
    <w:rPr>
      <w:rFonts w:ascii="宋体" w:hAnsi="宋体"/>
      <w:kern w:val="0"/>
      <w:szCs w:val="20"/>
    </w:rPr>
  </w:style>
  <w:style w:type="paragraph" w:styleId="22">
    <w:name w:val="Title"/>
    <w:basedOn w:val="1"/>
    <w:next w:val="1"/>
    <w:link w:val="44"/>
    <w:qFormat/>
    <w:uiPriority w:val="10"/>
    <w:pPr>
      <w:spacing w:before="240" w:after="60"/>
      <w:jc w:val="center"/>
      <w:outlineLvl w:val="0"/>
    </w:pPr>
    <w:rPr>
      <w:rFonts w:asciiTheme="majorHAnsi" w:hAnsiTheme="majorHAnsi" w:cstheme="majorBidi"/>
      <w:b/>
      <w:bCs/>
      <w:sz w:val="32"/>
      <w:szCs w:val="32"/>
    </w:rPr>
  </w:style>
  <w:style w:type="paragraph" w:styleId="23">
    <w:name w:val="annotation subject"/>
    <w:basedOn w:val="8"/>
    <w:next w:val="8"/>
    <w:link w:val="50"/>
    <w:qFormat/>
    <w:uiPriority w:val="0"/>
    <w:rPr>
      <w:b/>
      <w:bCs/>
    </w:rPr>
  </w:style>
  <w:style w:type="character" w:styleId="26">
    <w:name w:val="Strong"/>
    <w:basedOn w:val="25"/>
    <w:qFormat/>
    <w:uiPriority w:val="22"/>
    <w:rPr>
      <w:b/>
      <w:bCs/>
    </w:rPr>
  </w:style>
  <w:style w:type="character" w:styleId="27">
    <w:name w:val="page number"/>
    <w:basedOn w:val="25"/>
    <w:qFormat/>
    <w:uiPriority w:val="0"/>
  </w:style>
  <w:style w:type="character" w:styleId="28">
    <w:name w:val="Hyperlink"/>
    <w:basedOn w:val="25"/>
    <w:qFormat/>
    <w:uiPriority w:val="99"/>
    <w:rPr>
      <w:color w:val="0000FF"/>
      <w:u w:val="single"/>
    </w:rPr>
  </w:style>
  <w:style w:type="character" w:styleId="29">
    <w:name w:val="annotation reference"/>
    <w:qFormat/>
    <w:uiPriority w:val="0"/>
    <w:rPr>
      <w:sz w:val="21"/>
      <w:szCs w:val="21"/>
    </w:rPr>
  </w:style>
  <w:style w:type="character" w:customStyle="1" w:styleId="30">
    <w:name w:val="标题 1 Char"/>
    <w:basedOn w:val="25"/>
    <w:link w:val="2"/>
    <w:qFormat/>
    <w:uiPriority w:val="9"/>
    <w:rPr>
      <w:rFonts w:ascii="Times New Roman" w:hAnsi="Times New Roman" w:eastAsia="仿宋" w:cs="Times New Roman"/>
      <w:b/>
      <w:bCs/>
      <w:kern w:val="44"/>
      <w:sz w:val="36"/>
      <w:szCs w:val="44"/>
    </w:rPr>
  </w:style>
  <w:style w:type="character" w:customStyle="1" w:styleId="31">
    <w:name w:val="标题 2 Char"/>
    <w:basedOn w:val="25"/>
    <w:link w:val="3"/>
    <w:qFormat/>
    <w:uiPriority w:val="9"/>
    <w:rPr>
      <w:rFonts w:ascii="Cambria" w:hAnsi="Cambria" w:eastAsia="仿宋" w:cs="Times New Roman"/>
      <w:b/>
      <w:bCs/>
      <w:sz w:val="30"/>
      <w:szCs w:val="32"/>
    </w:rPr>
  </w:style>
  <w:style w:type="character" w:customStyle="1" w:styleId="32">
    <w:name w:val="标题 3 Char"/>
    <w:basedOn w:val="25"/>
    <w:link w:val="4"/>
    <w:qFormat/>
    <w:uiPriority w:val="9"/>
    <w:rPr>
      <w:rFonts w:ascii="Times New Roman" w:hAnsi="Times New Roman" w:eastAsia="仿宋" w:cs="Times New Roman"/>
      <w:b/>
      <w:bCs/>
      <w:sz w:val="24"/>
      <w:szCs w:val="32"/>
    </w:rPr>
  </w:style>
  <w:style w:type="character" w:customStyle="1" w:styleId="33">
    <w:name w:val="标题 4 Char"/>
    <w:basedOn w:val="25"/>
    <w:link w:val="5"/>
    <w:qFormat/>
    <w:uiPriority w:val="9"/>
    <w:rPr>
      <w:rFonts w:ascii="仿宋" w:hAnsi="仿宋" w:eastAsia="仿宋" w:cstheme="majorBidi"/>
      <w:bCs/>
      <w:kern w:val="0"/>
      <w:sz w:val="24"/>
      <w:szCs w:val="24"/>
    </w:rPr>
  </w:style>
  <w:style w:type="character" w:customStyle="1" w:styleId="34">
    <w:name w:val="页眉 Char"/>
    <w:basedOn w:val="25"/>
    <w:link w:val="14"/>
    <w:qFormat/>
    <w:uiPriority w:val="0"/>
    <w:rPr>
      <w:sz w:val="18"/>
      <w:szCs w:val="18"/>
    </w:rPr>
  </w:style>
  <w:style w:type="character" w:customStyle="1" w:styleId="35">
    <w:name w:val="页脚 Char"/>
    <w:basedOn w:val="25"/>
    <w:link w:val="13"/>
    <w:uiPriority w:val="99"/>
    <w:rPr>
      <w:sz w:val="18"/>
      <w:szCs w:val="18"/>
    </w:rPr>
  </w:style>
  <w:style w:type="character" w:customStyle="1" w:styleId="36">
    <w:name w:val="文档结构图 Char"/>
    <w:basedOn w:val="25"/>
    <w:link w:val="7"/>
    <w:uiPriority w:val="0"/>
    <w:rPr>
      <w:rFonts w:ascii="宋体" w:hAnsi="Times New Roman" w:eastAsia="宋体" w:cs="Times New Roman"/>
      <w:sz w:val="18"/>
      <w:szCs w:val="18"/>
    </w:rPr>
  </w:style>
  <w:style w:type="character" w:customStyle="1" w:styleId="37">
    <w:name w:val="正文文本缩进 3 Char"/>
    <w:basedOn w:val="25"/>
    <w:link w:val="18"/>
    <w:qFormat/>
    <w:uiPriority w:val="99"/>
    <w:rPr>
      <w:rFonts w:ascii="Times New Roman" w:hAnsi="Times New Roman" w:eastAsia="宋体" w:cs="Times New Roman"/>
      <w:color w:val="333333"/>
      <w:szCs w:val="21"/>
    </w:rPr>
  </w:style>
  <w:style w:type="paragraph" w:customStyle="1" w:styleId="38">
    <w:name w:val="p0"/>
    <w:basedOn w:val="1"/>
    <w:uiPriority w:val="0"/>
    <w:pPr>
      <w:widowControl/>
      <w:spacing w:before="100" w:beforeAutospacing="1" w:after="100" w:afterAutospacing="1"/>
      <w:jc w:val="left"/>
    </w:pPr>
    <w:rPr>
      <w:rFonts w:ascii="宋体" w:hAnsi="宋体" w:cs="宋体"/>
      <w:kern w:val="0"/>
    </w:rPr>
  </w:style>
  <w:style w:type="paragraph" w:customStyle="1" w:styleId="39">
    <w:name w:val="Char Char Char Char Char Char1 Char Char Char"/>
    <w:basedOn w:val="1"/>
    <w:qFormat/>
    <w:uiPriority w:val="0"/>
    <w:pPr>
      <w:autoSpaceDE w:val="0"/>
      <w:autoSpaceDN w:val="0"/>
      <w:adjustRightInd w:val="0"/>
      <w:jc w:val="left"/>
      <w:textAlignment w:val="baseline"/>
    </w:pPr>
    <w:rPr>
      <w:rFonts w:eastAsia="方正仿宋简体"/>
      <w:sz w:val="32"/>
      <w:szCs w:val="20"/>
    </w:rPr>
  </w:style>
  <w:style w:type="paragraph" w:styleId="40">
    <w:name w:val="List Paragraph"/>
    <w:basedOn w:val="1"/>
    <w:qFormat/>
    <w:uiPriority w:val="34"/>
    <w:pPr>
      <w:spacing w:line="276" w:lineRule="auto"/>
      <w:ind w:firstLine="420" w:firstLineChars="200"/>
    </w:pPr>
    <w:rPr>
      <w:rFonts w:ascii="Calibri" w:hAnsi="Calibri"/>
      <w:szCs w:val="22"/>
    </w:rPr>
  </w:style>
  <w:style w:type="paragraph" w:customStyle="1" w:styleId="41">
    <w:name w:val="Defaul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customStyle="1" w:styleId="42">
    <w:name w:val="CM15"/>
    <w:basedOn w:val="1"/>
    <w:next w:val="1"/>
    <w:qFormat/>
    <w:uiPriority w:val="0"/>
    <w:pPr>
      <w:autoSpaceDE w:val="0"/>
      <w:autoSpaceDN w:val="0"/>
      <w:adjustRightInd w:val="0"/>
      <w:spacing w:line="403" w:lineRule="atLeast"/>
      <w:jc w:val="left"/>
    </w:pPr>
    <w:rPr>
      <w:rFonts w:ascii="FZDaBiaoSong-B06S" w:eastAsia="FZDaBiaoSong-B06S" w:cs="FZDaBiaoSong-B06S"/>
      <w:kern w:val="0"/>
    </w:rPr>
  </w:style>
  <w:style w:type="character" w:customStyle="1" w:styleId="43">
    <w:name w:val="批注框文本 Char"/>
    <w:basedOn w:val="25"/>
    <w:link w:val="12"/>
    <w:qFormat/>
    <w:uiPriority w:val="0"/>
    <w:rPr>
      <w:rFonts w:ascii="Times New Roman" w:hAnsi="Times New Roman" w:eastAsia="宋体" w:cs="Times New Roman"/>
      <w:sz w:val="18"/>
      <w:szCs w:val="18"/>
    </w:rPr>
  </w:style>
  <w:style w:type="character" w:customStyle="1" w:styleId="44">
    <w:name w:val="标题 Char"/>
    <w:basedOn w:val="25"/>
    <w:link w:val="22"/>
    <w:qFormat/>
    <w:uiPriority w:val="10"/>
    <w:rPr>
      <w:rFonts w:eastAsia="宋体" w:asciiTheme="majorHAnsi" w:hAnsiTheme="majorHAnsi" w:cstheme="majorBidi"/>
      <w:b/>
      <w:bCs/>
      <w:sz w:val="32"/>
      <w:szCs w:val="32"/>
    </w:rPr>
  </w:style>
  <w:style w:type="paragraph" w:customStyle="1" w:styleId="45">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46">
    <w:name w:val="No Spacing"/>
    <w:link w:val="47"/>
    <w:qFormat/>
    <w:uiPriority w:val="1"/>
    <w:rPr>
      <w:rFonts w:asciiTheme="minorHAnsi" w:hAnsiTheme="minorHAnsi" w:eastAsiaTheme="minorEastAsia" w:cstheme="minorBidi"/>
      <w:kern w:val="0"/>
      <w:sz w:val="22"/>
      <w:szCs w:val="22"/>
      <w:lang w:val="en-US" w:eastAsia="zh-CN" w:bidi="ar-SA"/>
    </w:rPr>
  </w:style>
  <w:style w:type="character" w:customStyle="1" w:styleId="47">
    <w:name w:val="无间隔 Char"/>
    <w:basedOn w:val="25"/>
    <w:link w:val="46"/>
    <w:uiPriority w:val="1"/>
    <w:rPr>
      <w:kern w:val="0"/>
      <w:sz w:val="22"/>
    </w:rPr>
  </w:style>
  <w:style w:type="paragraph" w:customStyle="1" w:styleId="48">
    <w:name w:val="默认段落字体 Para Char"/>
    <w:basedOn w:val="1"/>
    <w:qFormat/>
    <w:uiPriority w:val="0"/>
    <w:pPr>
      <w:tabs>
        <w:tab w:val="left" w:pos="360"/>
      </w:tabs>
      <w:spacing w:before="312" w:after="312" w:line="360" w:lineRule="auto"/>
    </w:pPr>
    <w:rPr>
      <w:rFonts w:eastAsia="宋体"/>
      <w:sz w:val="21"/>
      <w:szCs w:val="20"/>
    </w:rPr>
  </w:style>
  <w:style w:type="character" w:customStyle="1" w:styleId="49">
    <w:name w:val="批注文字 Char"/>
    <w:basedOn w:val="25"/>
    <w:link w:val="8"/>
    <w:qFormat/>
    <w:uiPriority w:val="0"/>
    <w:rPr>
      <w:rFonts w:ascii="Times New Roman" w:hAnsi="Times New Roman" w:eastAsia="仿宋" w:cs="Times New Roman"/>
      <w:sz w:val="24"/>
      <w:szCs w:val="24"/>
    </w:rPr>
  </w:style>
  <w:style w:type="character" w:customStyle="1" w:styleId="50">
    <w:name w:val="批注主题 Char"/>
    <w:basedOn w:val="49"/>
    <w:link w:val="23"/>
    <w:uiPriority w:val="0"/>
    <w:rPr>
      <w:rFonts w:ascii="Times New Roman" w:hAnsi="Times New Roman" w:eastAsia="仿宋" w:cs="Times New Roman"/>
      <w:b/>
      <w:bCs/>
      <w:sz w:val="24"/>
      <w:szCs w:val="24"/>
    </w:rPr>
  </w:style>
  <w:style w:type="character" w:customStyle="1" w:styleId="51">
    <w:name w:val="apple-converted-space"/>
    <w:basedOn w:val="25"/>
    <w:qFormat/>
    <w:uiPriority w:val="0"/>
  </w:style>
  <w:style w:type="character" w:customStyle="1" w:styleId="52">
    <w:name w:val="未处理的提及1"/>
    <w:basedOn w:val="25"/>
    <w:semiHidden/>
    <w:unhideWhenUsed/>
    <w:qFormat/>
    <w:uiPriority w:val="99"/>
    <w:rPr>
      <w:color w:val="605E5C"/>
      <w:shd w:val="clear" w:color="auto" w:fill="E1DFDD"/>
    </w:rPr>
  </w:style>
  <w:style w:type="character" w:customStyle="1" w:styleId="53">
    <w:name w:val="Unresolved Mention"/>
    <w:basedOn w:val="2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verPageProperties xmlns="http://schemas.microsoft.com/office/2006/coverPageProps">
  <PublishDate>2014-10-01T00:00:00</PublishDate>
  <Abstract/>
  <CompanyAddress/>
  <CompanyPhone/>
  <CompanyFax/>
  <CompanyEmail/>
</CoverPag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49E21B-71D9-43ED-A030-61723A7A5404}">
  <ds:schemaRefs/>
</ds:datastoreItem>
</file>

<file path=customXml/itemProps3.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Template>
  <Company>YHQH</Company>
  <Pages>212</Pages>
  <Words>22797</Words>
  <Characters>129948</Characters>
  <Lines>1082</Lines>
  <Paragraphs>304</Paragraphs>
  <TotalTime>337</TotalTime>
  <ScaleCrop>false</ScaleCrop>
  <LinksUpToDate>false</LinksUpToDate>
  <CharactersWithSpaces>152441</CharactersWithSpaces>
  <Application>WPS Office_11.1.0.8515_F1E327BC-269C-435d-A152-05C5408002CA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2019-03-17T02:52:00Z</dcterms:created>
  <dc:creator>中国期货业协会</dc:creator>
  <cp:lastModifiedBy>草薇Cindy</cp:lastModifiedBy>
  <cp:lastPrinted>2014-10-09T00:57:00Z</cp:lastPrinted>
  <dcterms:modified xsi:type="dcterms:W3CDTF">2019-03-20T06:21:36Z</dcterms:modified>
  <dc:subject>首席风险官</dc:subject>
  <dc:title>期货公司高管资质测试大纲</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