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outlineLvl w:val="0"/>
        <w:rPr>
          <w:rFonts w:hint="eastAsia" w:ascii="方正小标宋简体" w:hAnsi="方正小标宋简体" w:eastAsia="方正小标宋简体" w:cs="黑体"/>
          <w:b/>
          <w:color w:val="auto"/>
          <w:kern w:val="0"/>
          <w:sz w:val="44"/>
          <w:szCs w:val="44"/>
        </w:rPr>
      </w:pPr>
    </w:p>
    <w:p>
      <w:pPr>
        <w:widowControl/>
        <w:spacing w:line="560" w:lineRule="exact"/>
        <w:jc w:val="center"/>
        <w:outlineLvl w:val="0"/>
        <w:rPr>
          <w:rFonts w:hint="eastAsia" w:ascii="方正小标宋简体" w:hAnsi="方正小标宋简体" w:eastAsia="方正小标宋简体" w:cs="黑体"/>
          <w:b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黑体"/>
          <w:b/>
          <w:color w:val="auto"/>
          <w:kern w:val="0"/>
          <w:sz w:val="44"/>
          <w:szCs w:val="44"/>
        </w:rPr>
        <w:t>《期货公司异构多活交易信息系统建设</w:t>
      </w:r>
    </w:p>
    <w:p>
      <w:pPr>
        <w:widowControl/>
        <w:spacing w:line="560" w:lineRule="exact"/>
        <w:jc w:val="center"/>
        <w:outlineLvl w:val="0"/>
        <w:rPr>
          <w:rFonts w:hint="eastAsia" w:ascii="方正小标宋简体" w:hAnsi="方正小标宋简体" w:eastAsia="方正小标宋简体" w:cs="黑体"/>
          <w:b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黑体"/>
          <w:b/>
          <w:color w:val="auto"/>
          <w:kern w:val="0"/>
          <w:sz w:val="44"/>
          <w:szCs w:val="44"/>
        </w:rPr>
        <w:t>指南》编制说明</w:t>
      </w:r>
    </w:p>
    <w:p/>
    <w:p>
      <w:pPr>
        <w:spacing w:line="560" w:lineRule="exact"/>
        <w:ind w:firstLine="642" w:firstLineChars="200"/>
        <w:jc w:val="left"/>
        <w:outlineLvl w:val="0"/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</w:rPr>
        <w:t>一、背景及意义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随着我国期货市场快速发展，交易品种扩容、国际化进程加速、客户交易需求多元化，期货公司交易系统面临高并发、低延迟、强容灾、自主可控的严峻挑战。传统“主备灾备”架构因技术同构、切换延迟、单点失效等问题，难以满足业务连续性“零中断”的监管要求与客户体验预期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为系统性解决上述痛点，中国期货业协会牵头制定《期货公司异构多活交易信息系统建设指南》，首次在期货行业提出“异构多活”架构的标准化建设路径。该标准突破“同构双活”局限，倡导在不同技术栈、硬件平台、软件架构下构建多个可独立承载全量业务的“活”节点，实现：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高可用：多节点并行运行，任意节点故障不影响交易；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强容灾：跨地域、异构部署，抵御软硬件、网络、区域级灾难；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业务连续：盘中实时切换，客户无感知，结算数据强一致；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信创合规：支持国产化替代，满足金融行业安全可控要求；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弹性扩展：支持差异化服务、客户分层管理，赋能业务创新。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该标准的发布，填补了期货行业在异构多活架构标准化建设领域的空白，是落实《证券期货业网络和信息安全管理办法》《信息系统备份能力规范》等监管要求的关键举措，标志着我国期货公司核心交易系统从“被动灾备”迈向“主动高可用”新阶段，为行业数字化转型与高质量发展提供坚实技术底座。</w:t>
      </w:r>
    </w:p>
    <w:p>
      <w:pPr>
        <w:spacing w:line="560" w:lineRule="exact"/>
        <w:ind w:firstLine="642" w:firstLineChars="200"/>
        <w:jc w:val="left"/>
        <w:outlineLvl w:val="0"/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</w:rPr>
        <w:t xml:space="preserve">二、工作简况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  <w:t xml:space="preserve">（一）起草单位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 xml:space="preserve">根据2024年团体标准制定计划，协会牵头组织中金所数据有限公司、国泰君安期货有限公司、中泰期货股份有限公司、银河期货有限公司、南华期货股份有限公司、上海期货信息技术公司、大连飞创信息技术公司、上海金仕达软件科技股份有限公司、恒生电子股份有限公司等单位成立标准编制工作组，共同起草本标准。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  <w:t xml:space="preserve">（二）主要工作过程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 xml:space="preserve">1、2025年1月-3月，开展标准调研和起草工作，确定标准起草思路及内容框架。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2、2025年4月-2026年6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 xml:space="preserve">月，完成标准初稿起草工作。 </w:t>
      </w:r>
    </w:p>
    <w:p>
      <w:pPr>
        <w:spacing w:line="560" w:lineRule="exact"/>
        <w:ind w:firstLine="642" w:firstLineChars="200"/>
        <w:jc w:val="left"/>
        <w:outlineLvl w:val="0"/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</w:rPr>
        <w:t xml:space="preserve">三、编制主要内容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本标准系统构建了从建设目标、组织保障、基础设施、系统要求、方案选型、测试验证、上线部署到运行保障与应急处置的全生命周期管理框架，配套全业务覆盖与核心模块轻量化两类典型案例，为期货公司提供可落地、可评估、可复用的实施路径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  <w:t>（一）构建高可用、零中断的业务连续体系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通过异构多活架构实现多个独立运行的交易节点并行服务，消除单点故障风险，确保在硬件、软件、网络或区域性灾难发生时，系统可实现自动/手动切换，保障客户交易“不中断、无感知”。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  <w:t>（二）实现异构技术栈的协同与容灾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要求主备系统采用不同技术架构、硬件平台、操作系统或数据库，避免“同构共因故障”，提升系统抗攻击、抗漏洞、抗供应链风险能力，满足金融信创与自主可控监管要求。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  <w:t>（三）建立全链路数据一致性保障机制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对账户、资金、持仓、密码、权限等核心数据实施实时同步+盘后对账双轨机制，明确区分实时同步（如密码、资金）与非实时同步（如费率、客户信息）数据类型，确保切换前后客户资产与交易状态绝对一致，杜绝数据错乱与资金风险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  <w:t>（四）设计可落地、可验证的建设与运维闭环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从方案选型、系统测试、上线策略、监控体系、应急响应全流程标准化，配套全业务、核心模块两大典型实施案例，提供可复制、可审计、可考核的落地路径。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  <w:t>（五）强化安全合规与组织保障机制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建立独立运维团队，实行物理隔离、权限分离、操作分控；明确决策层、管理层、执行层三级职责；落实补丁管理、安全测试、数据加密、监管报送等合规要求，确保系统建设与运行全程符合《证券期货业网络和信息安全管理办法》等监管规范。</w:t>
      </w:r>
    </w:p>
    <w:p>
      <w:pPr>
        <w:spacing w:line="560" w:lineRule="exact"/>
        <w:ind w:firstLine="642" w:firstLineChars="200"/>
        <w:jc w:val="left"/>
        <w:outlineLvl w:val="0"/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</w:rPr>
        <w:t xml:space="preserve">四、主要实验（或验证）分析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 xml:space="preserve">本标准在编制过程中，严格遵循监管要求，为期货公司按需开展异构多活交易信息系统建设提供参考。 </w:t>
      </w:r>
    </w:p>
    <w:p>
      <w:pPr>
        <w:spacing w:line="560" w:lineRule="exact"/>
        <w:ind w:firstLine="642" w:firstLineChars="200"/>
        <w:jc w:val="left"/>
        <w:outlineLvl w:val="0"/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</w:rPr>
        <w:t xml:space="preserve">五、重大分歧意见的处理经过和依据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无。</w:t>
      </w:r>
    </w:p>
    <w:p>
      <w:pPr>
        <w:spacing w:line="560" w:lineRule="exact"/>
        <w:ind w:firstLine="642" w:firstLineChars="200"/>
        <w:jc w:val="left"/>
        <w:outlineLvl w:val="0"/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</w:rPr>
        <w:t xml:space="preserve">六、贯彻标准的要求和建议措施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本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标准</w:t>
      </w:r>
      <w:r>
        <w:rPr>
          <w:rFonts w:ascii="仿宋" w:hAnsi="仿宋" w:eastAsia="仿宋" w:cs="仿宋"/>
          <w:kern w:val="0"/>
          <w:sz w:val="32"/>
          <w:szCs w:val="32"/>
        </w:rPr>
        <w:t>严格按照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GB/T 1.1-2020《标准化工作准则 第一部分：标准的结构和编写》JR/T 0352.1—2026《证券期货业标准化工作导则 第1部分：标准的名称》</w:t>
      </w:r>
      <w:r>
        <w:rPr>
          <w:rFonts w:ascii="仿宋" w:hAnsi="仿宋" w:eastAsia="仿宋" w:cs="仿宋"/>
          <w:kern w:val="0"/>
          <w:sz w:val="32"/>
          <w:szCs w:val="32"/>
        </w:rPr>
        <w:t>《中国期货业协会团体标准管理办法》规定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组织</w:t>
      </w:r>
      <w:r>
        <w:rPr>
          <w:rFonts w:ascii="仿宋" w:hAnsi="仿宋" w:eastAsia="仿宋" w:cs="仿宋"/>
          <w:kern w:val="0"/>
          <w:sz w:val="32"/>
          <w:szCs w:val="32"/>
        </w:rPr>
        <w:t>制定。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 xml:space="preserve">本标准作为推荐性团体标准，期货公司及相关方可参照本标准开展异构多活交易信息系统建设。 </w:t>
      </w:r>
    </w:p>
    <w:p>
      <w:pPr>
        <w:spacing w:line="560" w:lineRule="exact"/>
        <w:ind w:firstLine="642" w:firstLineChars="200"/>
        <w:jc w:val="left"/>
        <w:outlineLvl w:val="0"/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</w:rPr>
        <w:t xml:space="preserve">七、废止有关现行标准的建议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不涉及废止现行有关标准。</w:t>
      </w:r>
    </w:p>
    <w:p>
      <w:pPr>
        <w:spacing w:line="560" w:lineRule="exact"/>
        <w:ind w:firstLine="642" w:firstLineChars="200"/>
        <w:jc w:val="left"/>
        <w:outlineLvl w:val="0"/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</w:rPr>
        <w:t xml:space="preserve">八、其他说明项 </w:t>
      </w:r>
    </w:p>
    <w:p>
      <w:pPr>
        <w:spacing w:line="560" w:lineRule="exact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无。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doNotDisplayPageBoundaries w:val="true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EC"/>
    <w:rsid w:val="0014189A"/>
    <w:rsid w:val="001D0400"/>
    <w:rsid w:val="00361AA6"/>
    <w:rsid w:val="00561739"/>
    <w:rsid w:val="006C6C7E"/>
    <w:rsid w:val="008A4AEC"/>
    <w:rsid w:val="008D6A4C"/>
    <w:rsid w:val="009A1A60"/>
    <w:rsid w:val="009A732D"/>
    <w:rsid w:val="00B45218"/>
    <w:rsid w:val="00C54CA2"/>
    <w:rsid w:val="00D977B9"/>
    <w:rsid w:val="00DE0080"/>
    <w:rsid w:val="1C683013"/>
    <w:rsid w:val="1C6D08DF"/>
    <w:rsid w:val="58802C92"/>
    <w:rsid w:val="5AAC6857"/>
    <w:rsid w:val="5B46087F"/>
    <w:rsid w:val="77BB8700"/>
    <w:rsid w:val="7937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  <w:style w:type="paragraph" w:customStyle="1" w:styleId="5">
    <w:name w:val="段"/>
    <w:link w:val="6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character" w:customStyle="1" w:styleId="6">
    <w:name w:val="段 Char"/>
    <w:link w:val="5"/>
    <w:qFormat/>
    <w:uiPriority w:val="0"/>
    <w:rPr>
      <w:rFonts w:ascii="宋体" w:hAnsi="Times New Roman" w:eastAsia="宋体" w:cs="Times New Roman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1664</Words>
  <Characters>1696</Characters>
  <Lines>12</Lines>
  <Paragraphs>3</Paragraphs>
  <TotalTime>0</TotalTime>
  <ScaleCrop>false</ScaleCrop>
  <LinksUpToDate>false</LinksUpToDate>
  <CharactersWithSpaces>1715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2026-05-06T16:20:00Z</dcterms:created>
  <dc:creator>zhouchao</dc:creator>
  <cp:lastModifiedBy>aiqing</cp:lastModifiedBy>
  <dcterms:modified xsi:type="dcterms:W3CDTF">2026-06-30T12:07:58Z</dcterms:modified>
  <dc:title>《期货公司异构多活交易信息系统建设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eyJoZGlkIjoiMWI3NzJiM2JmNGIxZDZiNjQxMmYxZmFlNzQ1NDMxNjIiLCJ1c2VySWQiOiIxNTY4Mzc5Njg3In0=</vt:lpwstr>
  </property>
  <property fmtid="{D5CDD505-2E9C-101B-9397-08002B2CF9AE}" pid="3" name="KSOProductBuildVer">
    <vt:lpwstr>2052-11.8.2.9980</vt:lpwstr>
  </property>
  <property fmtid="{D5CDD505-2E9C-101B-9397-08002B2CF9AE}" pid="4" name="ICV">
    <vt:lpwstr>8A65505D46D749C78FE5A1158F22B92C_12</vt:lpwstr>
  </property>
</Properties>
</file>