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B9" w:rsidRDefault="004D0CC6">
      <w:pPr>
        <w:jc w:val="both"/>
        <w:rPr>
          <w:rFonts w:ascii="仿宋_GB2312" w:eastAsia="仿宋_GB2312" w:hAnsi="Times New Roman"/>
          <w:bCs/>
          <w:sz w:val="30"/>
          <w:szCs w:val="30"/>
        </w:rPr>
      </w:pPr>
      <w:r>
        <w:rPr>
          <w:rFonts w:ascii="仿宋_GB2312" w:eastAsia="仿宋_GB2312" w:hAnsi="Times New Roman" w:hint="eastAsia"/>
          <w:bCs/>
          <w:sz w:val="30"/>
          <w:szCs w:val="30"/>
        </w:rPr>
        <w:t>附件2</w:t>
      </w:r>
    </w:p>
    <w:p w:rsidR="00E323B9" w:rsidRDefault="00E323B9">
      <w:pPr>
        <w:jc w:val="both"/>
        <w:rPr>
          <w:rFonts w:ascii="仿宋_GB2312" w:eastAsia="仿宋_GB2312" w:hAnsi="Times New Roman"/>
          <w:bCs/>
          <w:sz w:val="30"/>
          <w:szCs w:val="30"/>
        </w:rPr>
      </w:pPr>
    </w:p>
    <w:p w:rsidR="00E323B9" w:rsidRDefault="004D0CC6">
      <w:pPr>
        <w:jc w:val="center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20</w:t>
      </w:r>
      <w:r w:rsidR="00064114">
        <w:rPr>
          <w:rFonts w:ascii="仿宋_GB2312" w:eastAsia="仿宋_GB2312" w:hAnsi="Times New Roman"/>
          <w:b/>
          <w:sz w:val="32"/>
          <w:szCs w:val="32"/>
        </w:rPr>
        <w:t>2</w:t>
      </w:r>
      <w:r w:rsidR="00697CD9">
        <w:rPr>
          <w:rFonts w:ascii="仿宋_GB2312" w:eastAsia="仿宋_GB2312" w:hAnsi="Times New Roman"/>
          <w:b/>
          <w:sz w:val="32"/>
          <w:szCs w:val="32"/>
        </w:rPr>
        <w:t>1</w:t>
      </w:r>
      <w:bookmarkStart w:id="0" w:name="_GoBack"/>
      <w:bookmarkEnd w:id="0"/>
      <w:r>
        <w:rPr>
          <w:rFonts w:ascii="仿宋_GB2312" w:eastAsia="仿宋_GB2312" w:hAnsi="Times New Roman" w:hint="eastAsia"/>
          <w:b/>
          <w:sz w:val="32"/>
          <w:szCs w:val="32"/>
        </w:rPr>
        <w:t>年“期货法律法规”考试大纲</w:t>
      </w:r>
    </w:p>
    <w:p w:rsidR="00E323B9" w:rsidRDefault="00E323B9">
      <w:pPr>
        <w:rPr>
          <w:rFonts w:ascii="仿宋_GB2312" w:eastAsia="仿宋_GB2312" w:hAnsi="Times New Roman"/>
          <w:sz w:val="30"/>
          <w:szCs w:val="30"/>
        </w:rPr>
      </w:pPr>
    </w:p>
    <w:p w:rsidR="00DD1662" w:rsidRDefault="00DD1662" w:rsidP="00A57E1B">
      <w:pPr>
        <w:numPr>
          <w:ilvl w:val="0"/>
          <w:numId w:val="1"/>
        </w:num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行政法规</w:t>
      </w:r>
    </w:p>
    <w:p w:rsidR="00E323B9" w:rsidRDefault="00786AD4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1.</w:t>
      </w:r>
      <w:r w:rsidR="004D0CC6">
        <w:rPr>
          <w:rFonts w:ascii="仿宋_GB2312" w:eastAsia="仿宋_GB2312" w:hAnsi="Times New Roman" w:hint="eastAsia"/>
          <w:sz w:val="30"/>
          <w:szCs w:val="30"/>
        </w:rPr>
        <w:t xml:space="preserve">期货交易管理条例 </w:t>
      </w:r>
    </w:p>
    <w:p w:rsidR="00DD1662" w:rsidRDefault="00DD1662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</w:t>
      </w:r>
      <w:r>
        <w:rPr>
          <w:rFonts w:ascii="仿宋_GB2312" w:eastAsia="仿宋_GB2312" w:hAnsi="Times New Roman"/>
          <w:sz w:val="30"/>
          <w:szCs w:val="30"/>
        </w:rPr>
        <w:t>部门规章与规范性文件</w:t>
      </w:r>
    </w:p>
    <w:p w:rsidR="00E323B9" w:rsidRDefault="00DD1662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1.</w:t>
      </w:r>
      <w:r w:rsidR="00174E0A">
        <w:rPr>
          <w:rFonts w:ascii="仿宋_GB2312" w:eastAsia="仿宋_GB2312" w:hAnsi="Times New Roman" w:hint="eastAsia"/>
          <w:sz w:val="30"/>
          <w:szCs w:val="30"/>
        </w:rPr>
        <w:t>期货交易所管理办法</w:t>
      </w:r>
    </w:p>
    <w:p w:rsidR="00E323B9" w:rsidRDefault="00DD1662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2.</w:t>
      </w:r>
      <w:r w:rsidR="00174E0A">
        <w:rPr>
          <w:rFonts w:ascii="仿宋_GB2312" w:eastAsia="仿宋_GB2312" w:hAnsi="Times New Roman" w:hint="eastAsia"/>
          <w:sz w:val="30"/>
          <w:szCs w:val="30"/>
        </w:rPr>
        <w:t>期货公司监督管理办法</w:t>
      </w:r>
    </w:p>
    <w:p w:rsidR="00C45462" w:rsidRDefault="00C45462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3.外商</w:t>
      </w:r>
      <w:r>
        <w:rPr>
          <w:rFonts w:ascii="仿宋_GB2312" w:eastAsia="仿宋_GB2312" w:hAnsi="Times New Roman"/>
          <w:sz w:val="30"/>
          <w:szCs w:val="30"/>
        </w:rPr>
        <w:t>投资期货公司管理办法</w:t>
      </w:r>
    </w:p>
    <w:p w:rsidR="00E323B9" w:rsidRDefault="00C45462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4.</w:t>
      </w:r>
      <w:r w:rsidR="00174E0A">
        <w:rPr>
          <w:rFonts w:ascii="仿宋_GB2312" w:eastAsia="仿宋_GB2312" w:hAnsi="Times New Roman" w:hint="eastAsia"/>
          <w:sz w:val="30"/>
          <w:szCs w:val="30"/>
        </w:rPr>
        <w:t>期货公司董事、监事和高级管理人员任职资格管理办法</w:t>
      </w:r>
    </w:p>
    <w:p w:rsidR="00E323B9" w:rsidRDefault="00C45462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5</w:t>
      </w:r>
      <w:r w:rsidR="00DD1662">
        <w:rPr>
          <w:rFonts w:ascii="仿宋_GB2312" w:eastAsia="仿宋_GB2312" w:hAnsi="Times New Roman"/>
          <w:sz w:val="30"/>
          <w:szCs w:val="30"/>
        </w:rPr>
        <w:t>.</w:t>
      </w:r>
      <w:r w:rsidR="00174E0A">
        <w:rPr>
          <w:rFonts w:ascii="仿宋_GB2312" w:eastAsia="仿宋_GB2312" w:hAnsi="Times New Roman" w:hint="eastAsia"/>
          <w:sz w:val="30"/>
          <w:szCs w:val="30"/>
        </w:rPr>
        <w:t>期货公司首席风险官管理规定（试行）</w:t>
      </w:r>
    </w:p>
    <w:p w:rsidR="00E323B9" w:rsidRDefault="00C45462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6</w:t>
      </w:r>
      <w:r w:rsidR="00DD1662">
        <w:rPr>
          <w:rFonts w:ascii="仿宋_GB2312" w:eastAsia="仿宋_GB2312" w:hAnsi="Times New Roman" w:hint="eastAsia"/>
          <w:sz w:val="30"/>
          <w:szCs w:val="30"/>
        </w:rPr>
        <w:t>.</w:t>
      </w:r>
      <w:r w:rsidR="004D0CC6">
        <w:rPr>
          <w:rFonts w:ascii="仿宋_GB2312" w:eastAsia="仿宋_GB2312" w:hAnsi="Times New Roman" w:hint="eastAsia"/>
          <w:sz w:val="30"/>
          <w:szCs w:val="30"/>
        </w:rPr>
        <w:t xml:space="preserve">期货从业人员管理办法 </w:t>
      </w:r>
    </w:p>
    <w:p w:rsidR="00E323B9" w:rsidRDefault="00C45462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7</w:t>
      </w:r>
      <w:r w:rsidR="00DD1662">
        <w:rPr>
          <w:rFonts w:ascii="仿宋_GB2312" w:eastAsia="仿宋_GB2312" w:hAnsi="Times New Roman" w:hint="eastAsia"/>
          <w:sz w:val="30"/>
          <w:szCs w:val="30"/>
        </w:rPr>
        <w:t>.</w:t>
      </w:r>
      <w:r w:rsidR="00174E0A">
        <w:rPr>
          <w:rFonts w:ascii="仿宋_GB2312" w:eastAsia="仿宋_GB2312" w:hAnsi="Times New Roman" w:hint="eastAsia"/>
          <w:sz w:val="30"/>
          <w:szCs w:val="30"/>
        </w:rPr>
        <w:t>期货市场客户开户管理规定</w:t>
      </w:r>
    </w:p>
    <w:p w:rsidR="00E323B9" w:rsidRDefault="00C45462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8</w:t>
      </w:r>
      <w:r w:rsidR="00DD1662">
        <w:rPr>
          <w:rFonts w:ascii="仿宋_GB2312" w:eastAsia="仿宋_GB2312" w:hAnsi="Times New Roman" w:hint="eastAsia"/>
          <w:sz w:val="30"/>
          <w:szCs w:val="30"/>
        </w:rPr>
        <w:t>.</w:t>
      </w:r>
      <w:r w:rsidR="00174E0A">
        <w:rPr>
          <w:rFonts w:ascii="仿宋_GB2312" w:eastAsia="仿宋_GB2312" w:hAnsi="Times New Roman" w:hint="eastAsia"/>
          <w:sz w:val="30"/>
          <w:szCs w:val="30"/>
        </w:rPr>
        <w:t>期货公司期货投资咨询业务试行办法</w:t>
      </w:r>
    </w:p>
    <w:p w:rsidR="00E323B9" w:rsidRDefault="00C45462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9</w:t>
      </w:r>
      <w:r w:rsidR="00DD1662">
        <w:rPr>
          <w:rFonts w:ascii="仿宋_GB2312" w:eastAsia="仿宋_GB2312" w:hAnsi="Times New Roman" w:hint="eastAsia"/>
          <w:sz w:val="30"/>
          <w:szCs w:val="30"/>
        </w:rPr>
        <w:t>.</w:t>
      </w:r>
      <w:r w:rsidR="00174E0A">
        <w:rPr>
          <w:rFonts w:ascii="仿宋_GB2312" w:eastAsia="仿宋_GB2312" w:hAnsi="Times New Roman" w:hint="eastAsia"/>
          <w:sz w:val="30"/>
          <w:szCs w:val="30"/>
        </w:rPr>
        <w:t>期货公司金融期货结算业务试行办法</w:t>
      </w:r>
      <w:r w:rsidR="004D0CC6">
        <w:rPr>
          <w:rFonts w:ascii="仿宋_GB2312" w:eastAsia="仿宋_GB2312" w:hAnsi="Times New Roman" w:hint="eastAsia"/>
          <w:sz w:val="30"/>
          <w:szCs w:val="30"/>
        </w:rPr>
        <w:t xml:space="preserve"> </w:t>
      </w:r>
    </w:p>
    <w:p w:rsidR="00064114" w:rsidRDefault="00C45462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10</w:t>
      </w:r>
      <w:r w:rsidR="00DD1662">
        <w:rPr>
          <w:rFonts w:ascii="仿宋_GB2312" w:eastAsia="仿宋_GB2312" w:hAnsi="Times New Roman"/>
          <w:sz w:val="30"/>
          <w:szCs w:val="30"/>
        </w:rPr>
        <w:t>.</w:t>
      </w:r>
      <w:r w:rsidR="004D0CC6">
        <w:rPr>
          <w:rFonts w:ascii="仿宋_GB2312" w:eastAsia="仿宋_GB2312" w:hAnsi="Times New Roman" w:hint="eastAsia"/>
          <w:sz w:val="30"/>
          <w:szCs w:val="30"/>
        </w:rPr>
        <w:t>证券公司为期货公司提供中间介绍业务试行办法</w:t>
      </w:r>
    </w:p>
    <w:p w:rsidR="00064114" w:rsidRDefault="00064114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1</w:t>
      </w:r>
      <w:r w:rsidR="00C45462">
        <w:rPr>
          <w:rFonts w:ascii="仿宋_GB2312" w:eastAsia="仿宋_GB2312" w:hAnsi="Times New Roman"/>
          <w:sz w:val="30"/>
          <w:szCs w:val="30"/>
        </w:rPr>
        <w:t>1</w:t>
      </w:r>
      <w:r w:rsidR="00DD1662">
        <w:rPr>
          <w:rFonts w:ascii="仿宋_GB2312" w:eastAsia="仿宋_GB2312" w:hAnsi="Times New Roman"/>
          <w:sz w:val="30"/>
          <w:szCs w:val="30"/>
        </w:rPr>
        <w:t>.</w:t>
      </w:r>
      <w:r w:rsidR="00174E0A" w:rsidRPr="00F45E68">
        <w:rPr>
          <w:rFonts w:ascii="仿宋_GB2312" w:eastAsia="仿宋_GB2312" w:hAnsi="Times New Roman" w:hint="eastAsia"/>
          <w:sz w:val="30"/>
          <w:szCs w:val="30"/>
        </w:rPr>
        <w:t>证券期货经营机构私募资产管理业务管理办法</w:t>
      </w:r>
    </w:p>
    <w:p w:rsidR="00064114" w:rsidRDefault="00064114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1</w:t>
      </w:r>
      <w:r w:rsidR="00C45462">
        <w:rPr>
          <w:rFonts w:ascii="仿宋_GB2312" w:eastAsia="仿宋_GB2312" w:hAnsi="Times New Roman"/>
          <w:sz w:val="30"/>
          <w:szCs w:val="30"/>
        </w:rPr>
        <w:t>2</w:t>
      </w:r>
      <w:r w:rsidR="00DD1662">
        <w:rPr>
          <w:rFonts w:ascii="仿宋_GB2312" w:eastAsia="仿宋_GB2312" w:hAnsi="Times New Roman"/>
          <w:sz w:val="30"/>
          <w:szCs w:val="30"/>
        </w:rPr>
        <w:t>.</w:t>
      </w:r>
      <w:r w:rsidR="00174E0A" w:rsidRPr="00F45E68">
        <w:rPr>
          <w:rFonts w:ascii="仿宋_GB2312" w:eastAsia="仿宋_GB2312" w:hAnsi="Times New Roman" w:hint="eastAsia"/>
          <w:sz w:val="30"/>
          <w:szCs w:val="30"/>
        </w:rPr>
        <w:t>证券期货经营机构私募资产管理计划运作管理规定</w:t>
      </w:r>
    </w:p>
    <w:p w:rsidR="00E323B9" w:rsidRDefault="00BC7B4B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1</w:t>
      </w:r>
      <w:r w:rsidR="0073292A">
        <w:rPr>
          <w:rFonts w:ascii="仿宋_GB2312" w:eastAsia="仿宋_GB2312" w:hAnsi="Times New Roman"/>
          <w:sz w:val="30"/>
          <w:szCs w:val="30"/>
        </w:rPr>
        <w:t>3</w:t>
      </w:r>
      <w:r w:rsidR="00DD1662">
        <w:rPr>
          <w:rFonts w:ascii="仿宋_GB2312" w:eastAsia="仿宋_GB2312" w:hAnsi="Times New Roman"/>
          <w:sz w:val="30"/>
          <w:szCs w:val="30"/>
        </w:rPr>
        <w:t>.</w:t>
      </w:r>
      <w:r w:rsidR="00174E0A">
        <w:rPr>
          <w:rFonts w:ascii="仿宋_GB2312" w:eastAsia="仿宋_GB2312" w:hAnsi="Times New Roman" w:hint="eastAsia"/>
          <w:sz w:val="30"/>
          <w:szCs w:val="30"/>
        </w:rPr>
        <w:t>期货公司风险监管指标管理办法</w:t>
      </w:r>
    </w:p>
    <w:p w:rsidR="00BC7B4B" w:rsidRDefault="0073292A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14</w:t>
      </w:r>
      <w:r w:rsidR="00DD1662">
        <w:rPr>
          <w:rFonts w:ascii="仿宋_GB2312" w:eastAsia="仿宋_GB2312" w:hAnsi="Times New Roman"/>
          <w:sz w:val="30"/>
          <w:szCs w:val="30"/>
        </w:rPr>
        <w:t>.</w:t>
      </w:r>
      <w:r w:rsidR="00174E0A">
        <w:rPr>
          <w:rFonts w:ascii="仿宋_GB2312" w:eastAsia="仿宋_GB2312" w:hAnsi="Times New Roman" w:hint="eastAsia"/>
          <w:sz w:val="30"/>
          <w:szCs w:val="30"/>
        </w:rPr>
        <w:t>期货投资者保障基金管理办法</w:t>
      </w:r>
    </w:p>
    <w:p w:rsidR="00BC7B4B" w:rsidRDefault="0073292A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15</w:t>
      </w:r>
      <w:r w:rsidR="00DD1662">
        <w:rPr>
          <w:rFonts w:ascii="仿宋_GB2312" w:eastAsia="仿宋_GB2312" w:hAnsi="Times New Roman"/>
          <w:sz w:val="30"/>
          <w:szCs w:val="30"/>
        </w:rPr>
        <w:t>.</w:t>
      </w:r>
      <w:r>
        <w:rPr>
          <w:rFonts w:ascii="仿宋_GB2312" w:eastAsia="仿宋_GB2312" w:hAnsi="Times New Roman" w:hint="eastAsia"/>
          <w:sz w:val="30"/>
          <w:szCs w:val="30"/>
        </w:rPr>
        <w:t>证券</w:t>
      </w:r>
      <w:r w:rsidR="00174E0A">
        <w:rPr>
          <w:rFonts w:ascii="仿宋_GB2312" w:eastAsia="仿宋_GB2312" w:hAnsi="Times New Roman" w:hint="eastAsia"/>
          <w:sz w:val="30"/>
          <w:szCs w:val="30"/>
        </w:rPr>
        <w:t>期货投资者适当性管理办法</w:t>
      </w:r>
    </w:p>
    <w:p w:rsidR="00174E0A" w:rsidRDefault="0073292A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lastRenderedPageBreak/>
        <w:t>16</w:t>
      </w:r>
      <w:r w:rsidR="00174E0A">
        <w:rPr>
          <w:rFonts w:ascii="仿宋_GB2312" w:eastAsia="仿宋_GB2312" w:hAnsi="Times New Roman" w:hint="eastAsia"/>
          <w:sz w:val="30"/>
          <w:szCs w:val="30"/>
        </w:rPr>
        <w:t>.境外交易者</w:t>
      </w:r>
      <w:r w:rsidR="00174E0A">
        <w:rPr>
          <w:rFonts w:ascii="仿宋_GB2312" w:eastAsia="仿宋_GB2312" w:hAnsi="Times New Roman"/>
          <w:sz w:val="30"/>
          <w:szCs w:val="30"/>
        </w:rPr>
        <w:t>和境外经纪机构</w:t>
      </w:r>
      <w:r w:rsidR="00174E0A">
        <w:rPr>
          <w:rFonts w:ascii="仿宋_GB2312" w:eastAsia="仿宋_GB2312" w:hAnsi="Times New Roman" w:hint="eastAsia"/>
          <w:sz w:val="30"/>
          <w:szCs w:val="30"/>
        </w:rPr>
        <w:t>从事</w:t>
      </w:r>
      <w:r w:rsidR="00174E0A">
        <w:rPr>
          <w:rFonts w:ascii="仿宋_GB2312" w:eastAsia="仿宋_GB2312" w:hAnsi="Times New Roman"/>
          <w:sz w:val="30"/>
          <w:szCs w:val="30"/>
        </w:rPr>
        <w:t>境内特定品种期货交易管理暂行条例</w:t>
      </w:r>
    </w:p>
    <w:p w:rsidR="00174E0A" w:rsidRPr="00174E0A" w:rsidRDefault="0073292A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17</w:t>
      </w:r>
      <w:r w:rsidR="00174E0A">
        <w:rPr>
          <w:rFonts w:ascii="仿宋_GB2312" w:eastAsia="仿宋_GB2312" w:hAnsi="Times New Roman"/>
          <w:sz w:val="30"/>
          <w:szCs w:val="30"/>
        </w:rPr>
        <w:t>.</w:t>
      </w:r>
      <w:r w:rsidR="00174E0A">
        <w:rPr>
          <w:rFonts w:ascii="仿宋_GB2312" w:eastAsia="仿宋_GB2312" w:hAnsi="Times New Roman" w:hint="eastAsia"/>
          <w:sz w:val="30"/>
          <w:szCs w:val="30"/>
        </w:rPr>
        <w:t>证券</w:t>
      </w:r>
      <w:r w:rsidR="00174E0A">
        <w:rPr>
          <w:rFonts w:ascii="仿宋_GB2312" w:eastAsia="仿宋_GB2312" w:hAnsi="Times New Roman"/>
          <w:sz w:val="30"/>
          <w:szCs w:val="30"/>
        </w:rPr>
        <w:t>期货市场诚信监督管理办法</w:t>
      </w:r>
    </w:p>
    <w:p w:rsidR="00DD1662" w:rsidRDefault="00DD1662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</w:t>
      </w:r>
      <w:r>
        <w:rPr>
          <w:rFonts w:ascii="仿宋_GB2312" w:eastAsia="仿宋_GB2312" w:hAnsi="Times New Roman"/>
          <w:sz w:val="30"/>
          <w:szCs w:val="30"/>
        </w:rPr>
        <w:t>、协会自律规则</w:t>
      </w:r>
    </w:p>
    <w:p w:rsidR="00BC7B4B" w:rsidRDefault="00DD1662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1.</w:t>
      </w:r>
      <w:r w:rsidR="00BC7B4B">
        <w:rPr>
          <w:rFonts w:ascii="仿宋_GB2312" w:eastAsia="仿宋_GB2312" w:hAnsi="Times New Roman" w:hint="eastAsia"/>
          <w:sz w:val="30"/>
          <w:szCs w:val="30"/>
        </w:rPr>
        <w:t>期货从业人员执业行为准则（修订）</w:t>
      </w:r>
    </w:p>
    <w:p w:rsidR="00E323B9" w:rsidRDefault="00DD1662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2.</w:t>
      </w:r>
      <w:r w:rsidR="004D0CC6">
        <w:rPr>
          <w:rFonts w:ascii="仿宋_GB2312" w:eastAsia="仿宋_GB2312" w:hAnsi="Times New Roman" w:hint="eastAsia"/>
          <w:sz w:val="30"/>
          <w:szCs w:val="30"/>
        </w:rPr>
        <w:t>期货经营机构投资者适当性管理实施指引（试行）</w:t>
      </w:r>
    </w:p>
    <w:p w:rsidR="00C45462" w:rsidRPr="00C45462" w:rsidRDefault="00C45462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3.</w:t>
      </w:r>
      <w:r>
        <w:rPr>
          <w:rFonts w:ascii="仿宋_GB2312" w:eastAsia="仿宋_GB2312" w:hAnsi="Times New Roman" w:hint="eastAsia"/>
          <w:sz w:val="30"/>
          <w:szCs w:val="30"/>
        </w:rPr>
        <w:t>中国</w:t>
      </w:r>
      <w:r>
        <w:rPr>
          <w:rFonts w:ascii="仿宋_GB2312" w:eastAsia="仿宋_GB2312" w:hAnsi="Times New Roman"/>
          <w:sz w:val="30"/>
          <w:szCs w:val="30"/>
        </w:rPr>
        <w:t>期货业协会纪律惩戒程序</w:t>
      </w:r>
    </w:p>
    <w:p w:rsidR="00DD1662" w:rsidRPr="00DD1662" w:rsidRDefault="00DD1662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</w:t>
      </w:r>
      <w:r>
        <w:rPr>
          <w:rFonts w:ascii="仿宋_GB2312" w:eastAsia="仿宋_GB2312" w:hAnsi="Times New Roman"/>
          <w:sz w:val="30"/>
          <w:szCs w:val="30"/>
        </w:rPr>
        <w:t>、其他</w:t>
      </w:r>
    </w:p>
    <w:p w:rsidR="00C45462" w:rsidRDefault="00DD1662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1.</w:t>
      </w:r>
      <w:r w:rsidR="004D0CC6">
        <w:rPr>
          <w:rFonts w:ascii="仿宋_GB2312" w:eastAsia="仿宋_GB2312" w:hAnsi="Times New Roman" w:hint="eastAsia"/>
          <w:sz w:val="30"/>
          <w:szCs w:val="30"/>
        </w:rPr>
        <w:t>中华人民共和国刑法</w:t>
      </w:r>
      <w:r w:rsidR="00C45462">
        <w:rPr>
          <w:rFonts w:ascii="仿宋_GB2312" w:eastAsia="仿宋_GB2312" w:hAnsi="Times New Roman" w:hint="eastAsia"/>
          <w:sz w:val="30"/>
          <w:szCs w:val="30"/>
        </w:rPr>
        <w:t>（节录）</w:t>
      </w:r>
    </w:p>
    <w:p w:rsidR="00C45462" w:rsidRDefault="00DD1662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2.</w:t>
      </w:r>
      <w:r w:rsidR="00C45462">
        <w:rPr>
          <w:rFonts w:ascii="仿宋_GB2312" w:eastAsia="仿宋_GB2312" w:hAnsi="Times New Roman" w:hint="eastAsia"/>
          <w:sz w:val="30"/>
          <w:szCs w:val="30"/>
        </w:rPr>
        <w:t>最高人民法院关于审理期货纠纷案件若干问题的规定</w:t>
      </w:r>
    </w:p>
    <w:p w:rsidR="00E323B9" w:rsidRDefault="00C45462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3.</w:t>
      </w:r>
      <w:r>
        <w:rPr>
          <w:rFonts w:ascii="仿宋_GB2312" w:eastAsia="仿宋_GB2312" w:hAnsi="Times New Roman" w:hint="eastAsia"/>
          <w:sz w:val="30"/>
          <w:szCs w:val="30"/>
        </w:rPr>
        <w:t>最高</w:t>
      </w:r>
      <w:r>
        <w:rPr>
          <w:rFonts w:ascii="仿宋_GB2312" w:eastAsia="仿宋_GB2312" w:hAnsi="Times New Roman"/>
          <w:sz w:val="30"/>
          <w:szCs w:val="30"/>
        </w:rPr>
        <w:t>人民法院、最高人民检察院关于办理内幕交易、泄露内幕信息</w:t>
      </w:r>
      <w:r>
        <w:rPr>
          <w:rFonts w:ascii="仿宋_GB2312" w:eastAsia="仿宋_GB2312" w:hAnsi="Times New Roman" w:hint="eastAsia"/>
          <w:sz w:val="30"/>
          <w:szCs w:val="30"/>
        </w:rPr>
        <w:t>刑事</w:t>
      </w:r>
      <w:r>
        <w:rPr>
          <w:rFonts w:ascii="仿宋_GB2312" w:eastAsia="仿宋_GB2312" w:hAnsi="Times New Roman"/>
          <w:sz w:val="30"/>
          <w:szCs w:val="30"/>
        </w:rPr>
        <w:t>案件具体应用法律若干问题的</w:t>
      </w:r>
      <w:r>
        <w:rPr>
          <w:rFonts w:ascii="仿宋_GB2312" w:eastAsia="仿宋_GB2312" w:hAnsi="Times New Roman" w:hint="eastAsia"/>
          <w:sz w:val="30"/>
          <w:szCs w:val="30"/>
        </w:rPr>
        <w:t>解释</w:t>
      </w:r>
      <w:r w:rsidR="004D0CC6">
        <w:rPr>
          <w:rFonts w:ascii="仿宋_GB2312" w:eastAsia="仿宋_GB2312" w:hAnsi="Times New Roman" w:hint="eastAsia"/>
          <w:sz w:val="30"/>
          <w:szCs w:val="30"/>
        </w:rPr>
        <w:t xml:space="preserve"> </w:t>
      </w:r>
    </w:p>
    <w:p w:rsidR="00C45462" w:rsidRDefault="00DD1662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4.</w:t>
      </w:r>
      <w:r w:rsidR="004D0CC6">
        <w:rPr>
          <w:rFonts w:ascii="仿宋_GB2312" w:eastAsia="仿宋_GB2312" w:hAnsi="Times New Roman" w:hint="eastAsia"/>
          <w:sz w:val="30"/>
          <w:szCs w:val="30"/>
        </w:rPr>
        <w:t>最高人民法院</w:t>
      </w:r>
      <w:r w:rsidR="00C45462">
        <w:rPr>
          <w:rFonts w:ascii="仿宋_GB2312" w:eastAsia="仿宋_GB2312" w:hAnsi="Times New Roman" w:hint="eastAsia"/>
          <w:sz w:val="30"/>
          <w:szCs w:val="30"/>
        </w:rPr>
        <w:t>、</w:t>
      </w:r>
      <w:r w:rsidR="00C45462">
        <w:rPr>
          <w:rFonts w:ascii="仿宋_GB2312" w:eastAsia="仿宋_GB2312" w:hAnsi="Times New Roman"/>
          <w:sz w:val="30"/>
          <w:szCs w:val="30"/>
        </w:rPr>
        <w:t>最高</w:t>
      </w:r>
      <w:r w:rsidR="00C45462">
        <w:rPr>
          <w:rFonts w:ascii="仿宋_GB2312" w:eastAsia="仿宋_GB2312" w:hAnsi="Times New Roman" w:hint="eastAsia"/>
          <w:sz w:val="30"/>
          <w:szCs w:val="30"/>
        </w:rPr>
        <w:t>人民</w:t>
      </w:r>
      <w:r w:rsidR="00C45462">
        <w:rPr>
          <w:rFonts w:ascii="仿宋_GB2312" w:eastAsia="仿宋_GB2312" w:hAnsi="Times New Roman"/>
          <w:sz w:val="30"/>
          <w:szCs w:val="30"/>
        </w:rPr>
        <w:t>检察院关于办理利用未公开信息交易刑事案件使用法律若干问题的</w:t>
      </w:r>
      <w:r w:rsidR="00C45462">
        <w:rPr>
          <w:rFonts w:ascii="仿宋_GB2312" w:eastAsia="仿宋_GB2312" w:hAnsi="Times New Roman" w:hint="eastAsia"/>
          <w:sz w:val="30"/>
          <w:szCs w:val="30"/>
        </w:rPr>
        <w:t>解释</w:t>
      </w:r>
    </w:p>
    <w:p w:rsidR="00E323B9" w:rsidRDefault="00C45462" w:rsidP="00A57E1B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5.</w:t>
      </w:r>
      <w:r>
        <w:rPr>
          <w:rFonts w:ascii="仿宋_GB2312" w:eastAsia="仿宋_GB2312" w:hAnsi="Times New Roman" w:hint="eastAsia"/>
          <w:sz w:val="30"/>
          <w:szCs w:val="30"/>
        </w:rPr>
        <w:t>最高人民</w:t>
      </w:r>
      <w:r>
        <w:rPr>
          <w:rFonts w:ascii="仿宋_GB2312" w:eastAsia="仿宋_GB2312" w:hAnsi="Times New Roman"/>
          <w:sz w:val="30"/>
          <w:szCs w:val="30"/>
        </w:rPr>
        <w:t>法院、最高人民检察院关于办理操纵证券、</w:t>
      </w:r>
      <w:r>
        <w:rPr>
          <w:rFonts w:ascii="仿宋_GB2312" w:eastAsia="仿宋_GB2312" w:hAnsi="Times New Roman" w:hint="eastAsia"/>
          <w:sz w:val="30"/>
          <w:szCs w:val="30"/>
        </w:rPr>
        <w:t>期货市场</w:t>
      </w:r>
      <w:r>
        <w:rPr>
          <w:rFonts w:ascii="仿宋_GB2312" w:eastAsia="仿宋_GB2312" w:hAnsi="Times New Roman"/>
          <w:sz w:val="30"/>
          <w:szCs w:val="30"/>
        </w:rPr>
        <w:t>刑事案件使用法律若干问题的解释</w:t>
      </w:r>
    </w:p>
    <w:p w:rsidR="00E323B9" w:rsidRDefault="00E323B9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</w:p>
    <w:sectPr w:rsidR="00E323B9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5D5" w:rsidRDefault="00B425D5">
      <w:r>
        <w:separator/>
      </w:r>
    </w:p>
  </w:endnote>
  <w:endnote w:type="continuationSeparator" w:id="0">
    <w:p w:rsidR="00B425D5" w:rsidRDefault="00B4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5D5" w:rsidRDefault="00B425D5">
      <w:r>
        <w:separator/>
      </w:r>
    </w:p>
  </w:footnote>
  <w:footnote w:type="continuationSeparator" w:id="0">
    <w:p w:rsidR="00B425D5" w:rsidRDefault="00B4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3B9" w:rsidRDefault="00E323B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58B6"/>
    <w:multiLevelType w:val="hybridMultilevel"/>
    <w:tmpl w:val="743E0120"/>
    <w:lvl w:ilvl="0" w:tplc="F62C98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B9"/>
    <w:rsid w:val="00064114"/>
    <w:rsid w:val="000B00BC"/>
    <w:rsid w:val="00174E0A"/>
    <w:rsid w:val="003802AD"/>
    <w:rsid w:val="003B3D80"/>
    <w:rsid w:val="004D0CC6"/>
    <w:rsid w:val="00697CD9"/>
    <w:rsid w:val="0073292A"/>
    <w:rsid w:val="00775DBB"/>
    <w:rsid w:val="00786AD4"/>
    <w:rsid w:val="009C2716"/>
    <w:rsid w:val="00A57E1B"/>
    <w:rsid w:val="00B425D5"/>
    <w:rsid w:val="00BA4BF1"/>
    <w:rsid w:val="00BC7B4B"/>
    <w:rsid w:val="00C45462"/>
    <w:rsid w:val="00DD1662"/>
    <w:rsid w:val="00E323B9"/>
    <w:rsid w:val="00F45E68"/>
    <w:rsid w:val="00F6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7EAC5DA"/>
  <w15:docId w15:val="{E8C1F736-24FF-41F9-B614-05485208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张国栋</cp:lastModifiedBy>
  <cp:revision>10</cp:revision>
  <dcterms:created xsi:type="dcterms:W3CDTF">2016-12-16T02:10:00Z</dcterms:created>
  <dcterms:modified xsi:type="dcterms:W3CDTF">2020-11-27T01:49:00Z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