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outlineLvl w:val="0"/>
        <w:rPr>
          <w:b/>
          <w:sz w:val="18"/>
        </w:rPr>
      </w:pPr>
      <w:r>
        <w:rPr>
          <w:rFonts w:hint="eastAsia" w:ascii="仿宋_GB2312" w:hAnsi="仿宋_GB2312" w:eastAsia="仿宋_GB2312"/>
          <w:sz w:val="30"/>
        </w:rPr>
        <w:t>附件1</w:t>
      </w:r>
    </w:p>
    <w:p>
      <w:pPr>
        <w:spacing w:line="360" w:lineRule="auto"/>
        <w:jc w:val="center"/>
        <w:outlineLvl w:val="1"/>
        <w:rPr>
          <w:b/>
          <w:sz w:val="30"/>
        </w:rPr>
      </w:pPr>
      <w:bookmarkStart w:id="0" w:name="_GoBack"/>
      <w:r>
        <w:rPr>
          <w:rFonts w:hint="eastAsia"/>
          <w:b/>
          <w:sz w:val="30"/>
          <w:lang w:eastAsia="zh-CN"/>
        </w:rPr>
        <w:t>产品或服务</w:t>
      </w:r>
      <w:r>
        <w:rPr>
          <w:rFonts w:hint="eastAsia"/>
          <w:b/>
          <w:sz w:val="30"/>
        </w:rPr>
        <w:t>风险等级名录</w:t>
      </w:r>
    </w:p>
    <w:bookmarkEnd w:id="0"/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为有效指</w:t>
      </w:r>
      <w:r>
        <w:rPr>
          <w:rFonts w:hint="eastAsia" w:ascii="宋体" w:hAnsi="宋体"/>
          <w:sz w:val="24"/>
          <w:lang w:eastAsia="zh-CN"/>
        </w:rPr>
        <w:t>导</w:t>
      </w:r>
      <w:r>
        <w:rPr>
          <w:rFonts w:hint="eastAsia" w:ascii="宋体" w:hAnsi="宋体"/>
          <w:sz w:val="24"/>
        </w:rPr>
        <w:t>期货经营机构对产品及服务进行风险分级，依据《证券期货投资者适当性管理办法》第三十六条规定，制定本名录。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期货经营机构可以参考本名录细化产品</w:t>
      </w:r>
      <w:r>
        <w:rPr>
          <w:rFonts w:hint="eastAsia" w:ascii="宋体" w:hAnsi="宋体"/>
          <w:sz w:val="24"/>
          <w:lang w:eastAsia="zh-CN"/>
        </w:rPr>
        <w:t>及</w:t>
      </w:r>
      <w:r>
        <w:rPr>
          <w:rFonts w:hint="eastAsia" w:ascii="宋体" w:hAnsi="宋体"/>
          <w:sz w:val="24"/>
        </w:rPr>
        <w:t>服务的风险等级评价标准，期货经营机构评估相关</w:t>
      </w:r>
      <w:r>
        <w:rPr>
          <w:rFonts w:hint="eastAsia" w:ascii="宋体" w:hAnsi="宋体"/>
          <w:sz w:val="24"/>
          <w:lang w:eastAsia="zh-CN"/>
        </w:rPr>
        <w:t>产品及服务</w:t>
      </w:r>
      <w:r>
        <w:rPr>
          <w:rFonts w:hint="eastAsia" w:ascii="宋体" w:hAnsi="宋体"/>
          <w:sz w:val="24"/>
        </w:rPr>
        <w:t>的风险等级不得低于本名录规定的风险等级。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ascii="宋体" w:hAnsi="宋体"/>
          <w:sz w:val="24"/>
        </w:rPr>
        <w:t>本名录不代表协会对相关产品</w:t>
      </w:r>
      <w:r>
        <w:rPr>
          <w:rFonts w:hint="eastAsia" w:ascii="宋体" w:hAnsi="宋体"/>
          <w:sz w:val="24"/>
          <w:lang w:eastAsia="zh-CN"/>
        </w:rPr>
        <w:t>及</w:t>
      </w:r>
      <w:r>
        <w:rPr>
          <w:rFonts w:hint="eastAsia" w:ascii="宋体" w:hAnsi="宋体"/>
          <w:sz w:val="24"/>
        </w:rPr>
        <w:t>服务的风险和收益做出实质性的判断或保证。</w:t>
      </w:r>
    </w:p>
    <w:tbl>
      <w:tblPr>
        <w:tblStyle w:val="3"/>
        <w:tblW w:w="856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产品或服务</w:t>
            </w:r>
            <w:r>
              <w:rPr>
                <w:rFonts w:hint="eastAsia"/>
                <w:b/>
                <w:kern w:val="0"/>
                <w:sz w:val="24"/>
              </w:rPr>
              <w:t>风险等级名录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风险等级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标的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R1 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资管产品备案机构风险等级名录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R1</w:t>
            </w:r>
            <w:r>
              <w:rPr>
                <w:rFonts w:hint="eastAsia" w:ascii="宋体" w:hAnsi="宋体" w:eastAsia="宋体" w:cs="宋体"/>
                <w:sz w:val="24"/>
              </w:rPr>
              <w:t>等级的产品及服务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R2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资管产品备案机构风险等级名录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R2</w:t>
            </w:r>
            <w:r>
              <w:rPr>
                <w:rFonts w:hint="eastAsia" w:ascii="宋体" w:hAnsi="宋体" w:eastAsia="宋体" w:cs="宋体"/>
                <w:sz w:val="24"/>
              </w:rPr>
              <w:t>等级的产品及服务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R3 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包括但不限于商品期货（除特定品种以外）及相关服务、资管产品备案机构风险等级名录R3等级的产品及服务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R4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包括但不限于金融期货、期权、特定品种、承担有限风险敞口的场外衍生产品及相关服务、资管产品备案机构风险等级名录R4等级的产品及服务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R5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包括但不限于承担无限风险敞口的场外衍生产品及相关服务、资管产品备案机构风险等级名录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R5</w:t>
            </w:r>
            <w:r>
              <w:rPr>
                <w:rFonts w:hint="eastAsia" w:ascii="宋体" w:hAnsi="宋体" w:eastAsia="宋体" w:cs="宋体"/>
                <w:sz w:val="24"/>
              </w:rPr>
              <w:t>等级的产品及服务</w:t>
            </w:r>
          </w:p>
        </w:tc>
      </w:tr>
    </w:tbl>
    <w:p>
      <w:pPr>
        <w:widowControl/>
        <w:jc w:val="left"/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注：1.</w:t>
      </w:r>
      <w:r>
        <w:rPr>
          <w:rFonts w:ascii="宋体" w:hAnsi="宋体" w:cs="宋体"/>
          <w:kern w:val="0"/>
          <w:sz w:val="24"/>
          <w:szCs w:val="24"/>
        </w:rPr>
        <w:t xml:space="preserve"> 期货公司</w:t>
      </w:r>
      <w:r>
        <w:rPr>
          <w:rFonts w:ascii="宋体" w:hAnsi="宋体" w:cs="宋体"/>
          <w:bCs/>
          <w:kern w:val="0"/>
          <w:sz w:val="24"/>
          <w:szCs w:val="24"/>
        </w:rPr>
        <w:t>风险管理子公司</w:t>
      </w:r>
      <w:r>
        <w:rPr>
          <w:rFonts w:ascii="宋体" w:hAnsi="宋体" w:cs="宋体"/>
          <w:kern w:val="0"/>
          <w:sz w:val="24"/>
          <w:szCs w:val="24"/>
        </w:rPr>
        <w:t>开展风险管理服务业务的，应当根据业务涉及的产品及服务标的来划分风险等级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期货经营机构</w:t>
      </w:r>
      <w:r>
        <w:rPr>
          <w:rFonts w:hint="eastAsia" w:ascii="宋体" w:hAnsi="宋体"/>
          <w:bCs/>
          <w:sz w:val="24"/>
          <w:szCs w:val="24"/>
        </w:rPr>
        <w:t>资产管理计划</w:t>
      </w:r>
      <w:r>
        <w:rPr>
          <w:rFonts w:hint="eastAsia" w:ascii="宋体" w:hAnsi="宋体"/>
          <w:sz w:val="24"/>
          <w:szCs w:val="24"/>
        </w:rPr>
        <w:t>的分级参考监管部门及相关产品备案机构标准；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3.期货</w:t>
      </w:r>
      <w:r>
        <w:rPr>
          <w:rFonts w:hint="eastAsia" w:ascii="宋体" w:hAnsi="宋体" w:cs="宋体"/>
          <w:kern w:val="0"/>
          <w:sz w:val="24"/>
          <w:szCs w:val="24"/>
        </w:rPr>
        <w:t>经营机构从事证券交易所股票期权业务的适当性管理</w:t>
      </w:r>
      <w:r>
        <w:rPr>
          <w:rFonts w:hint="eastAsia" w:ascii="宋体" w:hAnsi="宋体"/>
          <w:sz w:val="24"/>
          <w:szCs w:val="24"/>
        </w:rPr>
        <w:t>参考监管部门及相关产品备案机构标准。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widowControl/>
        <w:jc w:val="left"/>
      </w:pPr>
    </w:p>
    <w:p>
      <w:pPr>
        <w:spacing w:line="24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43BAD"/>
    <w:rsid w:val="3F2C0881"/>
    <w:rsid w:val="7F4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qFormat/>
    <w:uiPriority w:val="34"/>
    <w:pPr>
      <w:widowControl/>
      <w:spacing w:after="160" w:afterLines="0" w:line="259" w:lineRule="auto"/>
      <w:ind w:firstLine="420" w:firstLineChars="200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2017-11-27T06:45:00Z</dcterms:created>
  <dc:creator>西艾力</dc:creator>
  <cp:lastModifiedBy>西艾力</cp:lastModifiedBy>
  <dcterms:modified xsi:type="dcterms:W3CDTF">2017-11-27T06:55:04Z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