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F3" w:rsidRDefault="003F76F3" w:rsidP="003F76F3">
      <w:pPr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3F76F3" w:rsidRDefault="003F76F3" w:rsidP="003F76F3">
      <w:pPr>
        <w:overflowPunct w:val="0"/>
        <w:snapToGrid w:val="0"/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培训日程安排</w:t>
      </w:r>
    </w:p>
    <w:tbl>
      <w:tblPr>
        <w:tblW w:w="9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395"/>
        <w:gridCol w:w="3876"/>
        <w:gridCol w:w="3034"/>
      </w:tblGrid>
      <w:tr w:rsidR="003F76F3" w:rsidTr="00F960BB">
        <w:trPr>
          <w:trHeight w:val="680"/>
          <w:jc w:val="center"/>
        </w:trPr>
        <w:tc>
          <w:tcPr>
            <w:tcW w:w="1182" w:type="dxa"/>
            <w:vMerge w:val="restart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8</w:t>
            </w:r>
            <w:r>
              <w:rPr>
                <w:rFonts w:eastAsia="仿宋"/>
                <w:bCs/>
                <w:sz w:val="24"/>
              </w:rPr>
              <w:t>月</w:t>
            </w:r>
            <w:r>
              <w:rPr>
                <w:rFonts w:eastAsia="仿宋"/>
                <w:bCs/>
                <w:sz w:val="24"/>
              </w:rPr>
              <w:t>28</w:t>
            </w:r>
            <w:r>
              <w:rPr>
                <w:rFonts w:eastAsia="仿宋"/>
                <w:bCs/>
                <w:sz w:val="24"/>
              </w:rPr>
              <w:t>日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（周四）</w:t>
            </w: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时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widowControl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sz w:val="28"/>
                <w:szCs w:val="28"/>
              </w:rPr>
              <w:t>题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widowControl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sz w:val="28"/>
                <w:szCs w:val="28"/>
              </w:rPr>
              <w:t>讲</w:t>
            </w:r>
          </w:p>
        </w:tc>
      </w:tr>
      <w:tr w:rsidR="003F76F3" w:rsidTr="00F960BB">
        <w:trPr>
          <w:trHeight w:val="724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Cs/>
                <w:sz w:val="24"/>
              </w:rPr>
              <w:t>9:00-9:20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开班式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郑州</w:t>
            </w:r>
            <w:r>
              <w:rPr>
                <w:rFonts w:eastAsia="仿宋"/>
                <w:bCs/>
                <w:sz w:val="24"/>
              </w:rPr>
              <w:t>商品交易所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32"/>
                <w:lang w:bidi="ar"/>
              </w:rPr>
              <w:t>中国期货业协会</w:t>
            </w:r>
          </w:p>
        </w:tc>
      </w:tr>
      <w:tr w:rsidR="003F76F3" w:rsidTr="00F960BB">
        <w:trPr>
          <w:trHeight w:val="77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9:20-10:20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探索期货市场高质量发展之路，着力提升服务实体经济质效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李正强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对外经贸大学国际经贸学院研究员</w:t>
            </w:r>
          </w:p>
        </w:tc>
      </w:tr>
      <w:tr w:rsidR="003F76F3" w:rsidTr="00F960BB">
        <w:trPr>
          <w:trHeight w:val="717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10:20-11:20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2025</w:t>
            </w:r>
            <w:r>
              <w:rPr>
                <w:rFonts w:eastAsia="仿宋"/>
                <w:sz w:val="24"/>
              </w:rPr>
              <w:t>年下半年全球宏观经济视角下的大宗商品走势展望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王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eastAsia="仿宋"/>
                <w:b/>
                <w:bCs/>
                <w:sz w:val="24"/>
              </w:rPr>
              <w:t>鹏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银河期货首席宏观分析师</w:t>
            </w:r>
          </w:p>
        </w:tc>
      </w:tr>
      <w:tr w:rsidR="003F76F3" w:rsidTr="00F960BB">
        <w:trPr>
          <w:trHeight w:val="717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11:20-11:50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期货公司合</w:t>
            </w:r>
            <w:proofErr w:type="gramStart"/>
            <w:r>
              <w:rPr>
                <w:rFonts w:eastAsia="仿宋"/>
                <w:sz w:val="24"/>
              </w:rPr>
              <w:t>规</w:t>
            </w:r>
            <w:proofErr w:type="gramEnd"/>
            <w:r>
              <w:rPr>
                <w:rFonts w:eastAsia="仿宋"/>
                <w:sz w:val="24"/>
              </w:rPr>
              <w:t>经营与违法违规行为典型案例分析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罗晓颖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中期协自律管理部副总监助理</w:t>
            </w:r>
          </w:p>
        </w:tc>
      </w:tr>
      <w:tr w:rsidR="003F76F3" w:rsidTr="00F960BB">
        <w:trPr>
          <w:trHeight w:val="717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305" w:type="dxa"/>
            <w:gridSpan w:val="3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午间休息</w:t>
            </w:r>
          </w:p>
        </w:tc>
      </w:tr>
      <w:tr w:rsidR="003F76F3" w:rsidTr="00F960BB">
        <w:trPr>
          <w:trHeight w:val="717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14:00-15:00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期权基础知识及与期货工具的差异性分析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仿宋"/>
                <w:b/>
                <w:bCs/>
                <w:sz w:val="24"/>
                <w:szCs w:val="24"/>
              </w:rPr>
              <w:t>曹柏杨</w:t>
            </w:r>
            <w:proofErr w:type="gramEnd"/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/>
                <w:sz w:val="24"/>
                <w:szCs w:val="24"/>
              </w:rPr>
              <w:t>一</w:t>
            </w:r>
            <w:proofErr w:type="gramEnd"/>
            <w:r>
              <w:rPr>
                <w:rFonts w:eastAsia="仿宋"/>
                <w:sz w:val="24"/>
                <w:szCs w:val="24"/>
              </w:rPr>
              <w:t>德期货期权部总经理助理</w:t>
            </w:r>
          </w:p>
        </w:tc>
      </w:tr>
      <w:tr w:rsidR="003F76F3" w:rsidTr="00F960BB">
        <w:trPr>
          <w:trHeight w:val="717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15:00-17:00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期权实用交易策略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</w:rPr>
            </w:pPr>
            <w:proofErr w:type="gramStart"/>
            <w:r>
              <w:rPr>
                <w:rFonts w:eastAsia="仿宋"/>
                <w:b/>
                <w:sz w:val="24"/>
              </w:rPr>
              <w:t>牛秋乐</w:t>
            </w:r>
            <w:proofErr w:type="gramEnd"/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方</w:t>
            </w:r>
            <w:proofErr w:type="gramStart"/>
            <w:r>
              <w:rPr>
                <w:rFonts w:eastAsia="仿宋"/>
                <w:bCs/>
                <w:sz w:val="24"/>
              </w:rPr>
              <w:t>正中期</w:t>
            </w:r>
            <w:proofErr w:type="gramEnd"/>
            <w:r>
              <w:rPr>
                <w:rFonts w:eastAsia="仿宋"/>
                <w:bCs/>
                <w:sz w:val="24"/>
              </w:rPr>
              <w:t>期货研究院院长</w:t>
            </w:r>
          </w:p>
        </w:tc>
      </w:tr>
      <w:tr w:rsidR="003F76F3" w:rsidTr="00F960BB">
        <w:trPr>
          <w:trHeight w:val="717"/>
          <w:jc w:val="center"/>
        </w:trPr>
        <w:tc>
          <w:tcPr>
            <w:tcW w:w="1182" w:type="dxa"/>
            <w:vMerge w:val="restart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8</w:t>
            </w:r>
            <w:r>
              <w:rPr>
                <w:rFonts w:eastAsia="仿宋"/>
                <w:bCs/>
                <w:sz w:val="24"/>
              </w:rPr>
              <w:t>月</w:t>
            </w:r>
            <w:r>
              <w:rPr>
                <w:rFonts w:eastAsia="仿宋"/>
                <w:bCs/>
                <w:sz w:val="24"/>
              </w:rPr>
              <w:t>29</w:t>
            </w:r>
            <w:r>
              <w:rPr>
                <w:rFonts w:eastAsia="仿宋"/>
                <w:bCs/>
                <w:sz w:val="24"/>
              </w:rPr>
              <w:t>日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（周五）</w:t>
            </w: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9:00-10:00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期权希腊字母在交易中的应用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余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t>力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proofErr w:type="gramStart"/>
            <w:r>
              <w:rPr>
                <w:rFonts w:eastAsia="仿宋"/>
                <w:bCs/>
                <w:sz w:val="24"/>
              </w:rPr>
              <w:t>鑫元基金</w:t>
            </w:r>
            <w:proofErr w:type="gramEnd"/>
            <w:r>
              <w:rPr>
                <w:rFonts w:eastAsia="仿宋"/>
                <w:bCs/>
                <w:sz w:val="24"/>
              </w:rPr>
              <w:t>投资部负责人</w:t>
            </w:r>
          </w:p>
        </w:tc>
      </w:tr>
      <w:tr w:rsidR="003F76F3" w:rsidTr="00F960BB">
        <w:trPr>
          <w:trHeight w:val="717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10:00-10:20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郑商所期权市场运行情况介绍</w:t>
            </w:r>
          </w:p>
        </w:tc>
        <w:tc>
          <w:tcPr>
            <w:tcW w:w="3034" w:type="dxa"/>
            <w:vMerge w:val="restart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郑商所期货</w:t>
            </w:r>
            <w:proofErr w:type="gramStart"/>
            <w:r>
              <w:rPr>
                <w:rFonts w:eastAsia="仿宋"/>
                <w:bCs/>
                <w:sz w:val="24"/>
              </w:rPr>
              <w:t>衍生品部</w:t>
            </w:r>
            <w:proofErr w:type="gramEnd"/>
          </w:p>
        </w:tc>
      </w:tr>
      <w:tr w:rsidR="003F76F3" w:rsidTr="00F960BB">
        <w:trPr>
          <w:trHeight w:val="713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10:20-10:40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期权合约规则解读（丙烯期权）</w:t>
            </w:r>
          </w:p>
        </w:tc>
        <w:tc>
          <w:tcPr>
            <w:tcW w:w="3034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3F76F3" w:rsidTr="00F960BB">
        <w:trPr>
          <w:trHeight w:val="67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10:40-11:00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白糖系列期权规则及运行情况</w:t>
            </w:r>
          </w:p>
        </w:tc>
        <w:tc>
          <w:tcPr>
            <w:tcW w:w="3034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11:00-12:00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期权策略构建技巧及客户服务经验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杨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帆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兴业期货投资咨询部产品策略组组长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305" w:type="dxa"/>
            <w:gridSpan w:val="3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sz w:val="24"/>
              </w:rPr>
              <w:t>午间休息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14:00-15:15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期权在企业风险管理中的应用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李晨懿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江阴市金桥化工有限公司金融部经理</w:t>
            </w:r>
          </w:p>
        </w:tc>
      </w:tr>
      <w:tr w:rsidR="003F76F3" w:rsidTr="00F960BB">
        <w:trPr>
          <w:trHeight w:val="833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15:15-16:30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期权在私募基金构建投资策略中的应用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王维扬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上海得乐私募投资总监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16:30-17:30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期权常用分析指标及数据库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虞</w:t>
            </w:r>
            <w:r>
              <w:rPr>
                <w:rFonts w:eastAsia="仿宋"/>
                <w:b/>
                <w:sz w:val="24"/>
              </w:rPr>
              <w:t xml:space="preserve">  </w:t>
            </w:r>
            <w:proofErr w:type="gramStart"/>
            <w:r>
              <w:rPr>
                <w:rFonts w:eastAsia="仿宋"/>
                <w:b/>
                <w:sz w:val="24"/>
              </w:rPr>
              <w:t>堪</w:t>
            </w:r>
            <w:proofErr w:type="gramEnd"/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国泰君安期货金融工程首席研究员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 w:val="restart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8</w:t>
            </w:r>
            <w:r>
              <w:rPr>
                <w:rFonts w:eastAsia="仿宋"/>
                <w:bCs/>
                <w:sz w:val="24"/>
              </w:rPr>
              <w:t>月</w:t>
            </w:r>
            <w:r>
              <w:rPr>
                <w:rFonts w:eastAsia="仿宋"/>
                <w:bCs/>
                <w:sz w:val="24"/>
              </w:rPr>
              <w:t>30</w:t>
            </w:r>
            <w:r>
              <w:rPr>
                <w:rFonts w:eastAsia="仿宋"/>
                <w:bCs/>
                <w:sz w:val="24"/>
              </w:rPr>
              <w:t>日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（周六）</w:t>
            </w: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9:00-10:00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场外期权简介与分类详解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杨秋洁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中信中</w:t>
            </w:r>
            <w:proofErr w:type="gramStart"/>
            <w:r>
              <w:rPr>
                <w:rFonts w:eastAsia="仿宋"/>
                <w:bCs/>
                <w:sz w:val="24"/>
                <w:szCs w:val="24"/>
              </w:rPr>
              <w:t>证资本</w:t>
            </w:r>
            <w:proofErr w:type="gramEnd"/>
            <w:r>
              <w:rPr>
                <w:rFonts w:eastAsia="仿宋"/>
                <w:bCs/>
                <w:sz w:val="24"/>
                <w:szCs w:val="24"/>
              </w:rPr>
              <w:t>商品场外业务部副总经理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10:00-11:30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含</w:t>
            </w:r>
            <w:proofErr w:type="gramStart"/>
            <w:r>
              <w:rPr>
                <w:rFonts w:eastAsia="仿宋"/>
                <w:sz w:val="24"/>
              </w:rPr>
              <w:t>权贸易</w:t>
            </w:r>
            <w:proofErr w:type="gramEnd"/>
            <w:r>
              <w:rPr>
                <w:rFonts w:eastAsia="仿宋"/>
                <w:sz w:val="24"/>
              </w:rPr>
              <w:t>的原理及应用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曹登科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proofErr w:type="gramStart"/>
            <w:r>
              <w:rPr>
                <w:rFonts w:eastAsia="仿宋"/>
                <w:bCs/>
                <w:sz w:val="24"/>
              </w:rPr>
              <w:t>广期资本</w:t>
            </w:r>
            <w:proofErr w:type="gramEnd"/>
            <w:r>
              <w:rPr>
                <w:rFonts w:eastAsia="仿宋"/>
                <w:bCs/>
                <w:sz w:val="24"/>
              </w:rPr>
              <w:t>管理（上海）有限公司副总经理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305" w:type="dxa"/>
            <w:gridSpan w:val="3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午间休息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14:00-15:30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商品期权实战经验与操作演示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王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勇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期权交易者学会理事长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15:30-16:30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期权软件的交易应用和分析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陈竑</w:t>
            </w:r>
            <w:proofErr w:type="gramStart"/>
            <w:r>
              <w:rPr>
                <w:rFonts w:eastAsia="仿宋"/>
                <w:b/>
                <w:sz w:val="24"/>
                <w:szCs w:val="24"/>
              </w:rPr>
              <w:t>廷</w:t>
            </w:r>
            <w:proofErr w:type="gramEnd"/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交易艺术汇期权总监</w:t>
            </w:r>
          </w:p>
        </w:tc>
      </w:tr>
      <w:tr w:rsidR="003F76F3" w:rsidTr="00F960BB">
        <w:trPr>
          <w:trHeight w:val="740"/>
          <w:jc w:val="center"/>
        </w:trPr>
        <w:tc>
          <w:tcPr>
            <w:tcW w:w="1182" w:type="dxa"/>
            <w:vMerge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16:30-17:30</w:t>
            </w:r>
          </w:p>
        </w:tc>
        <w:tc>
          <w:tcPr>
            <w:tcW w:w="3876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金融科技如何提高期货公司竞争力</w:t>
            </w:r>
          </w:p>
        </w:tc>
        <w:tc>
          <w:tcPr>
            <w:tcW w:w="3034" w:type="dxa"/>
            <w:vAlign w:val="center"/>
          </w:tcPr>
          <w:p w:rsidR="003F76F3" w:rsidRDefault="003F76F3" w:rsidP="00F960BB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余以志</w:t>
            </w:r>
          </w:p>
          <w:p w:rsidR="003F76F3" w:rsidRDefault="003F76F3" w:rsidP="00F960BB">
            <w:pPr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中信期货首席信息官、金融科技委员会总经理</w:t>
            </w:r>
          </w:p>
        </w:tc>
      </w:tr>
    </w:tbl>
    <w:p w:rsidR="00E57F11" w:rsidRDefault="00E57F11">
      <w:pPr>
        <w:rPr>
          <w:lang w:eastAsia="zh-CN"/>
        </w:rPr>
      </w:pPr>
      <w:bookmarkStart w:id="0" w:name="_GoBack"/>
      <w:bookmarkEnd w:id="0"/>
    </w:p>
    <w:sectPr w:rsidR="00E57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AF" w:rsidRDefault="006B57AF" w:rsidP="003F76F3">
      <w:r>
        <w:separator/>
      </w:r>
    </w:p>
  </w:endnote>
  <w:endnote w:type="continuationSeparator" w:id="0">
    <w:p w:rsidR="006B57AF" w:rsidRDefault="006B57AF" w:rsidP="003F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7AF">
    <w:pPr>
      <w:pStyle w:val="a5"/>
      <w:framePr w:w="1321" w:h="357" w:hRule="exact" w:wrap="around" w:vAnchor="page" w:hAnchor="page" w:x="1849" w:y="15083"/>
      <w:rPr>
        <w:rStyle w:val="a8"/>
        <w:rFonts w:hint="eastAsia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sz w:val="28"/>
      </w:rPr>
      <w:t xml:space="preserve"> </w:t>
    </w:r>
    <w:r>
      <w:rPr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8"/>
        <w:sz w:val="28"/>
      </w:rPr>
      <w:t>2</w:t>
    </w:r>
    <w:r>
      <w:rPr>
        <w:sz w:val="28"/>
      </w:rPr>
      <w:fldChar w:fldCharType="end"/>
    </w:r>
    <w:r>
      <w:rPr>
        <w:rStyle w:val="a8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:rsidR="00000000" w:rsidRDefault="006B57A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76F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B57A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C6EF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6B57A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C6EF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AF" w:rsidRDefault="006B57AF" w:rsidP="003F76F3">
      <w:r>
        <w:separator/>
      </w:r>
    </w:p>
  </w:footnote>
  <w:footnote w:type="continuationSeparator" w:id="0">
    <w:p w:rsidR="006B57AF" w:rsidRDefault="006B57AF" w:rsidP="003F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7A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7A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30"/>
    <w:rsid w:val="003F76F3"/>
    <w:rsid w:val="006B57AF"/>
    <w:rsid w:val="006C6EF7"/>
    <w:rsid w:val="00E57F11"/>
    <w:rsid w:val="00F3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45223F-C4FD-4BD6-B39B-A238F1E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6F3"/>
    <w:rPr>
      <w:sz w:val="18"/>
      <w:szCs w:val="18"/>
    </w:rPr>
  </w:style>
  <w:style w:type="paragraph" w:styleId="a5">
    <w:name w:val="footer"/>
    <w:basedOn w:val="a"/>
    <w:link w:val="a6"/>
    <w:unhideWhenUsed/>
    <w:rsid w:val="003F7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6F3"/>
    <w:rPr>
      <w:sz w:val="18"/>
      <w:szCs w:val="18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7"/>
    <w:rsid w:val="003F76F3"/>
    <w:pPr>
      <w:shd w:val="clear" w:color="auto" w:fill="000080"/>
    </w:pPr>
    <w:rPr>
      <w:rFonts w:ascii="Times New Roman" w:eastAsia="宋体"/>
      <w:sz w:val="21"/>
      <w:szCs w:val="20"/>
    </w:rPr>
  </w:style>
  <w:style w:type="character" w:styleId="a8">
    <w:name w:val="page number"/>
    <w:basedOn w:val="a0"/>
    <w:rsid w:val="003F76F3"/>
  </w:style>
  <w:style w:type="paragraph" w:styleId="a7">
    <w:name w:val="Document Map"/>
    <w:basedOn w:val="a"/>
    <w:link w:val="a9"/>
    <w:uiPriority w:val="99"/>
    <w:semiHidden/>
    <w:unhideWhenUsed/>
    <w:rsid w:val="003F76F3"/>
    <w:rPr>
      <w:rFonts w:ascii="Microsoft YaHei UI" w:eastAsia="Microsoft YaHei UI"/>
      <w:sz w:val="18"/>
      <w:szCs w:val="18"/>
    </w:rPr>
  </w:style>
  <w:style w:type="character" w:customStyle="1" w:styleId="a9">
    <w:name w:val="文档结构图 字符"/>
    <w:basedOn w:val="a0"/>
    <w:link w:val="a7"/>
    <w:uiPriority w:val="99"/>
    <w:semiHidden/>
    <w:rsid w:val="003F76F3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2025-07-24T06:14:00Z</dcterms:created>
  <dcterms:modified xsi:type="dcterms:W3CDTF">2025-07-24T06:14:00Z</dcterms:modified>
</cp:coreProperties>
</file>