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F689" w14:textId="0F587EAC" w:rsidR="0048509B" w:rsidRDefault="0020440D" w:rsidP="00E339A1">
      <w:pPr>
        <w:pStyle w:val="af"/>
        <w:jc w:val="center"/>
      </w:pPr>
      <w:bookmarkStart w:id="0" w:name="OLE_LINK1"/>
      <w:r>
        <w:rPr>
          <w:rFonts w:hint="eastAsia"/>
        </w:rPr>
        <w:t xml:space="preserve"> </w:t>
      </w:r>
      <w:r w:rsidR="0048509B" w:rsidRPr="00DA72F9">
        <w:rPr>
          <w:rFonts w:hint="eastAsia"/>
        </w:rPr>
        <w:t>《</w:t>
      </w:r>
      <w:r w:rsidR="001F7141">
        <w:rPr>
          <w:rFonts w:hint="eastAsia"/>
        </w:rPr>
        <w:t>期货和衍生品投资基金</w:t>
      </w:r>
      <w:r w:rsidR="0048509B" w:rsidRPr="00DA72F9">
        <w:rPr>
          <w:rFonts w:hint="eastAsia"/>
        </w:rPr>
        <w:t>合同</w:t>
      </w:r>
      <w:r w:rsidR="00646406">
        <w:rPr>
          <w:rFonts w:hint="eastAsia"/>
        </w:rPr>
        <w:t>特别</w:t>
      </w:r>
      <w:r w:rsidR="0048509B" w:rsidRPr="00DA72F9">
        <w:rPr>
          <w:rFonts w:hint="eastAsia"/>
        </w:rPr>
        <w:t>指引》起草说明</w:t>
      </w:r>
    </w:p>
    <w:p w14:paraId="25D2A1DE" w14:textId="77777777" w:rsidR="005E2E97" w:rsidRDefault="005E2E97" w:rsidP="005E2E97">
      <w:pPr>
        <w:pStyle w:val="a9"/>
      </w:pPr>
    </w:p>
    <w:bookmarkEnd w:id="0"/>
    <w:p w14:paraId="513BE585" w14:textId="31BBC94F" w:rsidR="00FA1302" w:rsidRPr="00867B8E" w:rsidRDefault="00FA1302" w:rsidP="005E2E97">
      <w:pPr>
        <w:pStyle w:val="a7"/>
        <w:ind w:firstLine="640"/>
      </w:pPr>
      <w:r w:rsidRPr="002924EC">
        <w:rPr>
          <w:rFonts w:hint="eastAsia"/>
        </w:rPr>
        <w:t>为进一步规范</w:t>
      </w:r>
      <w:r w:rsidR="00867B8E" w:rsidRPr="002924EC">
        <w:rPr>
          <w:rFonts w:hint="eastAsia"/>
        </w:rPr>
        <w:t>投向期货和衍生品市场的私募</w:t>
      </w:r>
      <w:r w:rsidR="00F83FBA">
        <w:rPr>
          <w:rFonts w:hint="eastAsia"/>
        </w:rPr>
        <w:t>资产管理产品</w:t>
      </w:r>
      <w:r w:rsidR="00867B8E" w:rsidRPr="002924EC">
        <w:rPr>
          <w:rFonts w:hint="eastAsia"/>
        </w:rPr>
        <w:t>，促进期货和衍生品市场的功能发挥，持续推动资产管理业务良性发展，畅通财富通道，服务居民财富增值，中国期货业协会（以下简称协会）根据《中华人民共和国期货和衍生品法》</w:t>
      </w:r>
      <w:r w:rsidR="00DA72F9">
        <w:rPr>
          <w:rFonts w:hint="eastAsia"/>
        </w:rPr>
        <w:t>（以下简称《期货法》）</w:t>
      </w:r>
      <w:r w:rsidR="00867B8E" w:rsidRPr="002924EC">
        <w:rPr>
          <w:rFonts w:hint="eastAsia"/>
        </w:rPr>
        <w:t>《中华人民共和国证券投资基金法》 《证券期货经营机构私募资产管理业务管理办法》等规定，制定《</w:t>
      </w:r>
      <w:r w:rsidR="001F7141">
        <w:rPr>
          <w:rFonts w:hint="eastAsia"/>
        </w:rPr>
        <w:t>期货和衍生品投资基金</w:t>
      </w:r>
      <w:r w:rsidR="00867B8E" w:rsidRPr="002924EC">
        <w:rPr>
          <w:rFonts w:hint="eastAsia"/>
        </w:rPr>
        <w:t>合同</w:t>
      </w:r>
      <w:r w:rsidR="00646406">
        <w:rPr>
          <w:rFonts w:hint="eastAsia"/>
        </w:rPr>
        <w:t>特别</w:t>
      </w:r>
      <w:r w:rsidR="00867B8E" w:rsidRPr="002924EC">
        <w:rPr>
          <w:rFonts w:hint="eastAsia"/>
        </w:rPr>
        <w:t>指引》（以下简称《指引》）。《指引》起草背景、原则和主要内容如下：</w:t>
      </w:r>
    </w:p>
    <w:p w14:paraId="61DC67F8" w14:textId="0F60FA9C" w:rsidR="0048509B" w:rsidRPr="00DA72F9" w:rsidRDefault="0048509B" w:rsidP="005E2E97">
      <w:pPr>
        <w:pStyle w:val="a0"/>
        <w:ind w:firstLine="640"/>
      </w:pPr>
      <w:r w:rsidRPr="00DA72F9">
        <w:rPr>
          <w:rFonts w:hint="eastAsia"/>
        </w:rPr>
        <w:t>起草背景</w:t>
      </w:r>
    </w:p>
    <w:p w14:paraId="3BA6F63A" w14:textId="0F94C49A" w:rsidR="00F36909" w:rsidRDefault="00F36909" w:rsidP="00166717">
      <w:pPr>
        <w:pStyle w:val="a7"/>
        <w:ind w:firstLine="640"/>
      </w:pPr>
      <w:r w:rsidRPr="00326869">
        <w:rPr>
          <w:rFonts w:hint="eastAsia"/>
        </w:rPr>
        <w:t>随着国内期货和衍生品市场的不断发展，期货</w:t>
      </w:r>
      <w:r w:rsidR="00166717">
        <w:rPr>
          <w:rFonts w:hint="eastAsia"/>
        </w:rPr>
        <w:t>和</w:t>
      </w:r>
      <w:r w:rsidRPr="00326869">
        <w:rPr>
          <w:rFonts w:hint="eastAsia"/>
        </w:rPr>
        <w:t>衍生品的操作多样性、产品丰富度、策略灵活性，吸引着越来越多的财富管理机构</w:t>
      </w:r>
      <w:r w:rsidR="00166717">
        <w:rPr>
          <w:rFonts w:hint="eastAsia"/>
        </w:rPr>
        <w:t>将其纳入投资范围</w:t>
      </w:r>
      <w:r w:rsidRPr="00326869">
        <w:rPr>
          <w:rFonts w:hint="eastAsia"/>
        </w:rPr>
        <w:t>，期货</w:t>
      </w:r>
      <w:r w:rsidR="00166717">
        <w:rPr>
          <w:rFonts w:hint="eastAsia"/>
        </w:rPr>
        <w:t>和</w:t>
      </w:r>
      <w:r w:rsidRPr="00326869">
        <w:rPr>
          <w:rFonts w:hint="eastAsia"/>
        </w:rPr>
        <w:t>衍生品市场风险管理、价格发现的本质也进一步彰显。期货和衍生品市场自身带有的杠杆属性和交易专业性，</w:t>
      </w:r>
      <w:r w:rsidR="00166717">
        <w:rPr>
          <w:rFonts w:hint="eastAsia"/>
        </w:rPr>
        <w:t>对</w:t>
      </w:r>
      <w:r w:rsidR="00106EC3">
        <w:rPr>
          <w:rFonts w:hint="eastAsia"/>
        </w:rPr>
        <w:t>资管产品</w:t>
      </w:r>
      <w:r w:rsidR="00166717">
        <w:rPr>
          <w:rFonts w:hint="eastAsia"/>
        </w:rPr>
        <w:t>在风险揭示、合格投资者培育、信息披露等方面的要求</w:t>
      </w:r>
      <w:r w:rsidR="00172CCD">
        <w:rPr>
          <w:rFonts w:hint="eastAsia"/>
        </w:rPr>
        <w:t>则</w:t>
      </w:r>
      <w:r w:rsidR="00166717">
        <w:rPr>
          <w:rFonts w:hint="eastAsia"/>
        </w:rPr>
        <w:t>更为严苛。</w:t>
      </w:r>
    </w:p>
    <w:p w14:paraId="537B837F" w14:textId="09A8D906" w:rsidR="00172CCD" w:rsidRDefault="00172CCD" w:rsidP="00172CCD">
      <w:pPr>
        <w:pStyle w:val="a7"/>
        <w:ind w:firstLine="640"/>
      </w:pPr>
      <w:r>
        <w:rPr>
          <w:rFonts w:hint="eastAsia"/>
        </w:rPr>
        <w:t>为进一步对私募</w:t>
      </w:r>
      <w:r w:rsidR="00F83FBA">
        <w:rPr>
          <w:rFonts w:hint="eastAsia"/>
        </w:rPr>
        <w:t>资产管理产品在</w:t>
      </w:r>
      <w:r>
        <w:rPr>
          <w:rFonts w:hint="eastAsia"/>
        </w:rPr>
        <w:t>期货和衍生品市场的投资行为加强自律监管，</w:t>
      </w:r>
      <w:r w:rsidR="00224335">
        <w:rPr>
          <w:rFonts w:hint="eastAsia"/>
        </w:rPr>
        <w:t>协会</w:t>
      </w:r>
      <w:r w:rsidR="00166717">
        <w:rPr>
          <w:rFonts w:hint="eastAsia"/>
        </w:rPr>
        <w:t>拟</w:t>
      </w:r>
      <w:r w:rsidR="00224335" w:rsidRPr="00DA5000">
        <w:t>将</w:t>
      </w:r>
      <w:r w:rsidR="00224335">
        <w:rPr>
          <w:rFonts w:hint="eastAsia"/>
        </w:rPr>
        <w:t>投向期货和衍生品市场的私募</w:t>
      </w:r>
      <w:r w:rsidR="00F83FBA">
        <w:rPr>
          <w:rFonts w:hint="eastAsia"/>
        </w:rPr>
        <w:t>资产管理产品</w:t>
      </w:r>
      <w:r w:rsidR="00106EC3">
        <w:rPr>
          <w:rFonts w:hint="eastAsia"/>
        </w:rPr>
        <w:t>（</w:t>
      </w:r>
      <w:r w:rsidR="00F83FBA">
        <w:rPr>
          <w:rFonts w:hint="eastAsia"/>
        </w:rPr>
        <w:t>即期货和衍生品投资基金，</w:t>
      </w:r>
      <w:r w:rsidR="00106EC3">
        <w:rPr>
          <w:rFonts w:hint="eastAsia"/>
        </w:rPr>
        <w:t>以下简称基金）</w:t>
      </w:r>
      <w:r w:rsidR="009831B9">
        <w:rPr>
          <w:rFonts w:hint="eastAsia"/>
        </w:rPr>
        <w:t>，</w:t>
      </w:r>
      <w:r w:rsidR="00224335" w:rsidRPr="00DA5000">
        <w:t>纳入宏观审慎</w:t>
      </w:r>
      <w:r w:rsidR="00224335">
        <w:rPr>
          <w:rFonts w:hint="eastAsia"/>
        </w:rPr>
        <w:t>监管</w:t>
      </w:r>
      <w:r w:rsidR="00224335" w:rsidRPr="00DA5000">
        <w:t>框架</w:t>
      </w:r>
      <w:r>
        <w:rPr>
          <w:rFonts w:hint="eastAsia"/>
        </w:rPr>
        <w:t>。在</w:t>
      </w:r>
      <w:r w:rsidRPr="006B64FD">
        <w:rPr>
          <w:rFonts w:hint="eastAsia"/>
        </w:rPr>
        <w:t>遵守由中国证券投资基金业协会制定的《私募投资基金合同指引》</w:t>
      </w:r>
      <w:r>
        <w:rPr>
          <w:rFonts w:hint="eastAsia"/>
        </w:rPr>
        <w:t>的前提下，</w:t>
      </w:r>
      <w:r w:rsidRPr="006B64FD">
        <w:rPr>
          <w:rFonts w:hint="eastAsia"/>
        </w:rPr>
        <w:t>我协会</w:t>
      </w:r>
      <w:r>
        <w:rPr>
          <w:rFonts w:hint="eastAsia"/>
        </w:rPr>
        <w:t>拟</w:t>
      </w:r>
      <w:r w:rsidRPr="006B64FD">
        <w:rPr>
          <w:rFonts w:hint="eastAsia"/>
        </w:rPr>
        <w:t>结合期货和衍生品投资策略的特殊属性及风险特征，</w:t>
      </w:r>
      <w:r>
        <w:rPr>
          <w:rFonts w:hint="eastAsia"/>
        </w:rPr>
        <w:t>对相关</w:t>
      </w:r>
      <w:r>
        <w:rPr>
          <w:rFonts w:hint="eastAsia"/>
        </w:rPr>
        <w:lastRenderedPageBreak/>
        <w:t>要求进行</w:t>
      </w:r>
      <w:r w:rsidRPr="006B64FD">
        <w:rPr>
          <w:rFonts w:hint="eastAsia"/>
        </w:rPr>
        <w:t>补充强化。</w:t>
      </w:r>
    </w:p>
    <w:p w14:paraId="1FE3234E" w14:textId="5B31BCBB" w:rsidR="0048509B" w:rsidRPr="00114828" w:rsidRDefault="0048509B" w:rsidP="005E2E97">
      <w:pPr>
        <w:pStyle w:val="a0"/>
        <w:ind w:firstLine="640"/>
        <w:rPr>
          <w:rFonts w:ascii="仿宋_GB2312" w:eastAsia="仿宋_GB2312" w:hAnsi="Calibri" w:cs="宋体"/>
          <w:sz w:val="30"/>
          <w:szCs w:val="30"/>
        </w:rPr>
      </w:pPr>
      <w:r w:rsidRPr="009831B9">
        <w:rPr>
          <w:rFonts w:hint="eastAsia"/>
        </w:rPr>
        <w:t>《指引》主要原则</w:t>
      </w:r>
    </w:p>
    <w:p w14:paraId="100A9EBA" w14:textId="74E2EABB" w:rsidR="00114828" w:rsidRDefault="00114828" w:rsidP="005E2E97">
      <w:pPr>
        <w:pStyle w:val="a"/>
        <w:ind w:firstLine="640"/>
      </w:pPr>
      <w:r>
        <w:rPr>
          <w:rFonts w:hint="eastAsia"/>
        </w:rPr>
        <w:t>强化信义义务，完善</w:t>
      </w:r>
      <w:r w:rsidR="00674471">
        <w:rPr>
          <w:rFonts w:hint="eastAsia"/>
        </w:rPr>
        <w:t>信息</w:t>
      </w:r>
      <w:r>
        <w:rPr>
          <w:rFonts w:hint="eastAsia"/>
        </w:rPr>
        <w:t>披露</w:t>
      </w:r>
      <w:r w:rsidR="00674471">
        <w:rPr>
          <w:rFonts w:hint="eastAsia"/>
        </w:rPr>
        <w:t>要求</w:t>
      </w:r>
    </w:p>
    <w:p w14:paraId="6F0C5CA2" w14:textId="5FC5C895" w:rsidR="0089410D" w:rsidRDefault="00E858E7" w:rsidP="00E858E7">
      <w:pPr>
        <w:pStyle w:val="a7"/>
        <w:ind w:firstLine="640"/>
      </w:pPr>
      <w:r>
        <w:rPr>
          <w:rFonts w:hint="eastAsia"/>
        </w:rPr>
        <w:t>信义义务是资产管理行业的灵魂和基石，基金管理人应将投资者利益置于首位，始终将投资者利益最大化作为资管业务的行为准则。</w:t>
      </w:r>
      <w:r w:rsidR="0089410D">
        <w:rPr>
          <w:rFonts w:hint="eastAsia"/>
        </w:rPr>
        <w:t>为保证信义义务的有效履行，基金管理人应当具备与基金运作相适配的投资管理能力，确保投资者适当性要求全面落实，防范利益冲突，为投资者谋取最大利益。</w:t>
      </w:r>
    </w:p>
    <w:p w14:paraId="4053FF72" w14:textId="0C4898C0" w:rsidR="00E858E7" w:rsidRPr="00E858E7" w:rsidRDefault="0089410D" w:rsidP="008B6C98">
      <w:pPr>
        <w:pStyle w:val="a7"/>
        <w:ind w:firstLine="640"/>
      </w:pPr>
      <w:r>
        <w:rPr>
          <w:rFonts w:hint="eastAsia"/>
        </w:rPr>
        <w:t>合理的信息披露制度，可以保障信义义务的有效发挥。基金管理人应当对基金募集、运行和终止的产品全生命链条，提供合理的信息披露内容，包括但不限于运行风险、交易策略、交易对手方、费率安排等。</w:t>
      </w:r>
      <w:r w:rsidR="004C4802">
        <w:rPr>
          <w:rFonts w:hint="eastAsia"/>
        </w:rPr>
        <w:t>同时，为保障基金的运行效率及商业机密，强调信息披露的透明度而非强制全面信息披露，以保护</w:t>
      </w:r>
      <w:r w:rsidR="00106EC3">
        <w:rPr>
          <w:rFonts w:hint="eastAsia"/>
        </w:rPr>
        <w:t>期货和衍生品投资</w:t>
      </w:r>
      <w:r w:rsidR="004C4802">
        <w:rPr>
          <w:rFonts w:hint="eastAsia"/>
        </w:rPr>
        <w:t>基金的敏感性信息。</w:t>
      </w:r>
    </w:p>
    <w:p w14:paraId="35DB43D4" w14:textId="09774BA7" w:rsidR="00114828" w:rsidRDefault="00FE3A44" w:rsidP="005E2E97">
      <w:pPr>
        <w:pStyle w:val="a"/>
        <w:ind w:firstLine="640"/>
      </w:pPr>
      <w:r>
        <w:rPr>
          <w:rFonts w:hint="eastAsia"/>
        </w:rPr>
        <w:t>抓牢</w:t>
      </w:r>
      <w:r w:rsidR="00114828">
        <w:rPr>
          <w:rFonts w:hint="eastAsia"/>
        </w:rPr>
        <w:t>源头</w:t>
      </w:r>
      <w:r>
        <w:rPr>
          <w:rFonts w:hint="eastAsia"/>
        </w:rPr>
        <w:t>监管，确保</w:t>
      </w:r>
      <w:r w:rsidR="00114828">
        <w:rPr>
          <w:rFonts w:hint="eastAsia"/>
        </w:rPr>
        <w:t>结果控制</w:t>
      </w:r>
    </w:p>
    <w:p w14:paraId="23CBBB8B" w14:textId="7D950EF2" w:rsidR="007D0457" w:rsidRPr="007D0457" w:rsidRDefault="004E07B4" w:rsidP="00103891">
      <w:pPr>
        <w:pStyle w:val="a7"/>
        <w:ind w:firstLine="640"/>
      </w:pPr>
      <w:r>
        <w:rPr>
          <w:rFonts w:hint="eastAsia"/>
        </w:rPr>
        <w:t>提升投资阶段初期的监管要求，</w:t>
      </w:r>
      <w:r w:rsidR="007D0457">
        <w:rPr>
          <w:rFonts w:hint="eastAsia"/>
        </w:rPr>
        <w:t>从投资交易源头降低风险产生的可能。一是</w:t>
      </w:r>
      <w:r>
        <w:rPr>
          <w:rFonts w:hint="eastAsia"/>
        </w:rPr>
        <w:t>强调投资者适当性的切实落地，</w:t>
      </w:r>
      <w:r w:rsidR="007D0457">
        <w:rPr>
          <w:rFonts w:hint="eastAsia"/>
        </w:rPr>
        <w:t>使投资者能够快速获取有效信息，避免信息欺诈。</w:t>
      </w:r>
      <w:r w:rsidR="00A02948">
        <w:rPr>
          <w:rFonts w:hint="eastAsia"/>
        </w:rPr>
        <w:t>二是提升资管合同的实质性作用，强化信义义务在基金合同中作为合同义务的体现，转变投资者在签订合同时的弱势地位，提升合同在保护投资者利益和基金效率时的作用。三是</w:t>
      </w:r>
      <w:r w:rsidR="009415A2">
        <w:rPr>
          <w:rFonts w:hint="eastAsia"/>
        </w:rPr>
        <w:t>明确合同双方权责及义务，在合同中由投资者和管理人就利益冲突、审慎义务、纠纷处理等进行事先明确约定，合理保护各方利益。</w:t>
      </w:r>
    </w:p>
    <w:p w14:paraId="0FC3F710" w14:textId="12A0E66C" w:rsidR="00114828" w:rsidRDefault="00103891" w:rsidP="005E2E97">
      <w:pPr>
        <w:pStyle w:val="a"/>
        <w:ind w:firstLine="640"/>
      </w:pPr>
      <w:r>
        <w:rPr>
          <w:rFonts w:hint="eastAsia"/>
        </w:rPr>
        <w:t>引入</w:t>
      </w:r>
      <w:r w:rsidR="00114828">
        <w:rPr>
          <w:rFonts w:hint="eastAsia"/>
        </w:rPr>
        <w:t>原则性</w:t>
      </w:r>
      <w:r w:rsidR="00FE3A44">
        <w:rPr>
          <w:rFonts w:hint="eastAsia"/>
        </w:rPr>
        <w:t>监管，兼顾</w:t>
      </w:r>
      <w:r w:rsidR="00114828">
        <w:rPr>
          <w:rFonts w:hint="eastAsia"/>
        </w:rPr>
        <w:t>灵活性</w:t>
      </w:r>
      <w:r w:rsidR="00FE3A44">
        <w:rPr>
          <w:rFonts w:hint="eastAsia"/>
        </w:rPr>
        <w:t>操作</w:t>
      </w:r>
    </w:p>
    <w:p w14:paraId="41B47AFA" w14:textId="675D3742" w:rsidR="00A213ED" w:rsidRDefault="00A213ED" w:rsidP="00A213ED">
      <w:pPr>
        <w:pStyle w:val="a7"/>
        <w:ind w:firstLine="640"/>
      </w:pPr>
      <w:r>
        <w:rPr>
          <w:rFonts w:hint="eastAsia"/>
        </w:rPr>
        <w:lastRenderedPageBreak/>
        <w:t>原则性监管和规则性监管是现代金融监管的两条基本思路，鉴于基金投资策略的复杂程度及运作的不透明度，适当引入原则性监管</w:t>
      </w:r>
      <w:r w:rsidR="001E0200">
        <w:rPr>
          <w:rFonts w:hint="eastAsia"/>
        </w:rPr>
        <w:t>可以有效提升监管效率与结果。明确</w:t>
      </w:r>
      <w:r w:rsidR="001875D1">
        <w:rPr>
          <w:rFonts w:hint="eastAsia"/>
        </w:rPr>
        <w:t>基金</w:t>
      </w:r>
      <w:r w:rsidR="001E0200">
        <w:rPr>
          <w:rFonts w:hint="eastAsia"/>
        </w:rPr>
        <w:t>合同核心框架，鼓励管理人与投资者依据实际需求自行约定合作细节</w:t>
      </w:r>
      <w:r w:rsidR="00B41642">
        <w:rPr>
          <w:rFonts w:hint="eastAsia"/>
        </w:rPr>
        <w:t>，有助于推动适当性精准落地，也有助于监管动态跟随发展迅速的基金行业。另一方面，原则性监管可以有效避免基金进行规则套利规避监管，充分体现监管的实质目标和基金的运行特点。</w:t>
      </w:r>
    </w:p>
    <w:p w14:paraId="05F6EADF" w14:textId="3F9FBB0C" w:rsidR="000F6BB3" w:rsidRDefault="000F6BB3" w:rsidP="000F6BB3">
      <w:pPr>
        <w:pStyle w:val="a0"/>
        <w:ind w:firstLine="640"/>
      </w:pPr>
      <w:r>
        <w:rPr>
          <w:rFonts w:hint="eastAsia"/>
        </w:rPr>
        <w:t>《指引》适用范围</w:t>
      </w:r>
    </w:p>
    <w:p w14:paraId="1D765751" w14:textId="08957CD2" w:rsidR="000F6BB3" w:rsidRDefault="000F6BB3" w:rsidP="000F6BB3">
      <w:pPr>
        <w:pStyle w:val="a7"/>
        <w:ind w:firstLine="640"/>
      </w:pPr>
      <w:r w:rsidRPr="001A2C9C">
        <w:rPr>
          <w:rFonts w:hint="eastAsia"/>
        </w:rPr>
        <w:t>从《指引》</w:t>
      </w:r>
      <w:r>
        <w:rPr>
          <w:rFonts w:hint="eastAsia"/>
        </w:rPr>
        <w:t>适用</w:t>
      </w:r>
      <w:r w:rsidRPr="001A2C9C">
        <w:rPr>
          <w:rFonts w:hint="eastAsia"/>
        </w:rPr>
        <w:t>内容来看</w:t>
      </w:r>
      <w:r>
        <w:rPr>
          <w:rFonts w:hint="eastAsia"/>
        </w:rPr>
        <w:t>，</w:t>
      </w:r>
      <w:r w:rsidRPr="00874A99">
        <w:rPr>
          <w:rFonts w:hint="eastAsia"/>
        </w:rPr>
        <w:t>期货和衍生品投资基金的种类繁多、管理人类型多样，需要遵守相关不同行业的展业要求，例如参与期货和衍生品市场的私募证券投资基金应当遵守由中国证券投资基金业协会制定的《私募投资基金合同指引》，该指引已对基金的募集、成立与备案、申购赎回与转让等重要内容进行了约定。因此，我协会</w:t>
      </w:r>
      <w:r>
        <w:rPr>
          <w:rFonts w:hint="eastAsia"/>
        </w:rPr>
        <w:t>仅</w:t>
      </w:r>
      <w:r w:rsidRPr="00874A99">
        <w:rPr>
          <w:rFonts w:hint="eastAsia"/>
        </w:rPr>
        <w:t>结合期货和衍生品投资基金应用期货和衍生品投资策略的特殊属性及风险特征，</w:t>
      </w:r>
      <w:r>
        <w:rPr>
          <w:rFonts w:hint="eastAsia"/>
        </w:rPr>
        <w:t>对不同类型资管产品的合同要求</w:t>
      </w:r>
      <w:r w:rsidRPr="00874A99">
        <w:rPr>
          <w:rFonts w:hint="eastAsia"/>
        </w:rPr>
        <w:t>进行补充强化。</w:t>
      </w:r>
    </w:p>
    <w:p w14:paraId="2E480F0E" w14:textId="7E05766D" w:rsidR="000F6BB3" w:rsidRPr="000F6BB3" w:rsidRDefault="000F6BB3" w:rsidP="000F6BB3">
      <w:pPr>
        <w:pStyle w:val="a7"/>
        <w:ind w:firstLine="640"/>
      </w:pPr>
      <w:r w:rsidRPr="001A2C9C">
        <w:rPr>
          <w:rFonts w:hint="eastAsia"/>
        </w:rPr>
        <w:t>从《指引》适用对象来看，</w:t>
      </w:r>
      <w:r>
        <w:rPr>
          <w:rFonts w:hint="eastAsia"/>
        </w:rPr>
        <w:t>根据协会章程，协会会员应当自觉遵守协会的相关自律规则，严格遵守《指引》的相关要求。非协会会员管理人发行期货和衍生品投资基金的，可以按照</w:t>
      </w:r>
      <w:r w:rsidRPr="00C34CEC">
        <w:rPr>
          <w:rFonts w:hint="eastAsia"/>
        </w:rPr>
        <w:t xml:space="preserve"> “好人举手”原则，参照《指引》的相关要求进行自律规范。</w:t>
      </w:r>
    </w:p>
    <w:p w14:paraId="42A9F0CF" w14:textId="2062BA92" w:rsidR="0048509B" w:rsidRDefault="0048509B" w:rsidP="005E2E97">
      <w:pPr>
        <w:pStyle w:val="a0"/>
        <w:ind w:firstLine="640"/>
      </w:pPr>
      <w:r w:rsidRPr="009831B9">
        <w:rPr>
          <w:rFonts w:hint="eastAsia"/>
        </w:rPr>
        <w:t>《指引》主要内容</w:t>
      </w:r>
    </w:p>
    <w:p w14:paraId="069C2FF6" w14:textId="16029974" w:rsidR="0092572A" w:rsidRPr="0092572A" w:rsidRDefault="0092572A" w:rsidP="0092572A">
      <w:pPr>
        <w:pStyle w:val="a7"/>
        <w:ind w:firstLine="640"/>
      </w:pPr>
      <w:r>
        <w:rPr>
          <w:rFonts w:hint="eastAsia"/>
        </w:rPr>
        <w:t>《指引》共计</w:t>
      </w:r>
      <w:r w:rsidR="00697023">
        <w:rPr>
          <w:rFonts w:hint="eastAsia"/>
        </w:rPr>
        <w:t>二十</w:t>
      </w:r>
      <w:r w:rsidR="004310BF">
        <w:rPr>
          <w:rFonts w:hint="eastAsia"/>
        </w:rPr>
        <w:t>四</w:t>
      </w:r>
      <w:r>
        <w:rPr>
          <w:rFonts w:hint="eastAsia"/>
        </w:rPr>
        <w:t>条，主要内容如下：</w:t>
      </w:r>
    </w:p>
    <w:p w14:paraId="49156A2B" w14:textId="63C025CA" w:rsidR="00674471" w:rsidRDefault="00674471" w:rsidP="00815DEC">
      <w:pPr>
        <w:pStyle w:val="a"/>
        <w:numPr>
          <w:ilvl w:val="0"/>
          <w:numId w:val="7"/>
        </w:numPr>
        <w:ind w:firstLine="640"/>
      </w:pPr>
      <w:r>
        <w:rPr>
          <w:rFonts w:hint="eastAsia"/>
        </w:rPr>
        <w:lastRenderedPageBreak/>
        <w:t>明确期货和衍生品投资特点</w:t>
      </w:r>
      <w:r w:rsidR="00697023">
        <w:rPr>
          <w:rFonts w:hint="eastAsia"/>
        </w:rPr>
        <w:t>，细化特别风险揭示</w:t>
      </w:r>
    </w:p>
    <w:p w14:paraId="4166188D" w14:textId="56B7EB0B" w:rsidR="00194A57" w:rsidRPr="00194A57" w:rsidRDefault="00194A57" w:rsidP="00D3003C">
      <w:pPr>
        <w:pStyle w:val="a7"/>
        <w:ind w:firstLine="640"/>
      </w:pPr>
      <w:r>
        <w:rPr>
          <w:rFonts w:hint="eastAsia"/>
        </w:rPr>
        <w:t>期货及衍生品</w:t>
      </w:r>
      <w:r w:rsidR="00D3003C">
        <w:rPr>
          <w:rFonts w:hint="eastAsia"/>
        </w:rPr>
        <w:t>市场具有</w:t>
      </w:r>
      <w:r>
        <w:rPr>
          <w:rFonts w:hint="eastAsia"/>
        </w:rPr>
        <w:t>操作多样、产品丰富、策略灵活</w:t>
      </w:r>
      <w:r w:rsidR="00D3003C">
        <w:rPr>
          <w:rFonts w:hint="eastAsia"/>
        </w:rPr>
        <w:t>等特点</w:t>
      </w:r>
      <w:r>
        <w:rPr>
          <w:rFonts w:hint="eastAsia"/>
        </w:rPr>
        <w:t>，</w:t>
      </w:r>
      <w:r w:rsidR="00D3003C">
        <w:rPr>
          <w:rFonts w:hint="eastAsia"/>
        </w:rPr>
        <w:t>其特有</w:t>
      </w:r>
      <w:r>
        <w:rPr>
          <w:rFonts w:hint="eastAsia"/>
        </w:rPr>
        <w:t>的杠杆属性和交易专业性</w:t>
      </w:r>
      <w:r w:rsidR="00D3003C">
        <w:rPr>
          <w:rFonts w:hint="eastAsia"/>
        </w:rPr>
        <w:t>要求涉及</w:t>
      </w:r>
      <w:r>
        <w:rPr>
          <w:rFonts w:hint="eastAsia"/>
        </w:rPr>
        <w:t>期货和衍生品投资的基金应当进一步加强风险揭示、投资者适当性、信息披露等要求。《指引》针对期货和衍生品市场的特殊交易属性，对相关内容进行了</w:t>
      </w:r>
      <w:r w:rsidR="00D3003C">
        <w:rPr>
          <w:rFonts w:hint="eastAsia"/>
        </w:rPr>
        <w:t>强化补充</w:t>
      </w:r>
      <w:r>
        <w:rPr>
          <w:rFonts w:hint="eastAsia"/>
        </w:rPr>
        <w:t>，包括：</w:t>
      </w:r>
      <w:r w:rsidR="00D3003C">
        <w:rPr>
          <w:rFonts w:hint="eastAsia"/>
        </w:rPr>
        <w:t>期货和衍生品市场特殊交易机制、特殊交易规则、特殊结算方式、特殊风险情况、其他不可抗力等。</w:t>
      </w:r>
    </w:p>
    <w:p w14:paraId="194D9CB2" w14:textId="14890924" w:rsidR="005E2E97" w:rsidRDefault="001B0D44" w:rsidP="0068161F">
      <w:pPr>
        <w:pStyle w:val="a"/>
        <w:numPr>
          <w:ilvl w:val="0"/>
          <w:numId w:val="7"/>
        </w:numPr>
        <w:ind w:firstLine="640"/>
      </w:pPr>
      <w:r>
        <w:rPr>
          <w:rFonts w:hint="eastAsia"/>
        </w:rPr>
        <w:t>强化信息披露</w:t>
      </w:r>
      <w:r w:rsidR="00674471">
        <w:rPr>
          <w:rFonts w:hint="eastAsia"/>
        </w:rPr>
        <w:t>要求</w:t>
      </w:r>
      <w:r>
        <w:rPr>
          <w:rFonts w:hint="eastAsia"/>
        </w:rPr>
        <w:t>，提高透明度</w:t>
      </w:r>
    </w:p>
    <w:p w14:paraId="6830735B" w14:textId="4B95F961" w:rsidR="00CF720F" w:rsidRPr="00CF720F" w:rsidRDefault="00152528" w:rsidP="00CF720F">
      <w:pPr>
        <w:pStyle w:val="a7"/>
        <w:ind w:firstLine="640"/>
      </w:pPr>
      <w:r>
        <w:rPr>
          <w:rFonts w:hint="eastAsia"/>
        </w:rPr>
        <w:t>打破基金低透明度的现状，细化信息披露要求，降低信息披露的随意性，兼顾保护基金敏感信息和提升透明度。</w:t>
      </w:r>
    </w:p>
    <w:p w14:paraId="3C9D2D59" w14:textId="5840180A" w:rsidR="00674471" w:rsidRDefault="00674471" w:rsidP="0068161F">
      <w:pPr>
        <w:pStyle w:val="10"/>
        <w:ind w:firstLine="640"/>
      </w:pPr>
      <w:r>
        <w:rPr>
          <w:rFonts w:hint="eastAsia"/>
        </w:rPr>
        <w:t>净值</w:t>
      </w:r>
    </w:p>
    <w:p w14:paraId="22F6A7C5" w14:textId="5B619EEC" w:rsidR="00CF720F" w:rsidRDefault="0068161F" w:rsidP="005E2E97">
      <w:pPr>
        <w:pStyle w:val="a7"/>
        <w:ind w:firstLine="640"/>
      </w:pPr>
      <w:r>
        <w:rPr>
          <w:rFonts w:hint="eastAsia"/>
        </w:rPr>
        <w:t>强化</w:t>
      </w:r>
      <w:r w:rsidR="001875D1">
        <w:rPr>
          <w:rFonts w:hint="eastAsia"/>
        </w:rPr>
        <w:t>披露</w:t>
      </w:r>
      <w:r>
        <w:rPr>
          <w:rFonts w:hint="eastAsia"/>
        </w:rPr>
        <w:t>期内</w:t>
      </w:r>
      <w:r w:rsidR="00725991">
        <w:rPr>
          <w:rFonts w:hint="eastAsia"/>
        </w:rPr>
        <w:t>净值披露的相关要求，减少“净值欺诈”的空间。要求基金</w:t>
      </w:r>
      <w:r w:rsidR="00E841C5">
        <w:rPr>
          <w:rFonts w:hint="eastAsia"/>
        </w:rPr>
        <w:t>采用</w:t>
      </w:r>
      <w:r w:rsidR="00725991">
        <w:rPr>
          <w:rFonts w:hint="eastAsia"/>
        </w:rPr>
        <w:t>期内信息和期末时点数相结合的方式，对披露周期中的净值高位值、中位值和低位值进行披露，改变只关注期末数据的情况，转为关注</w:t>
      </w:r>
      <w:r w:rsidR="00E841C5">
        <w:rPr>
          <w:rFonts w:hint="eastAsia"/>
        </w:rPr>
        <w:t>基金</w:t>
      </w:r>
      <w:r w:rsidR="00725991">
        <w:rPr>
          <w:rFonts w:hint="eastAsia"/>
        </w:rPr>
        <w:t>阶段运行</w:t>
      </w:r>
      <w:r w:rsidR="00E841C5">
        <w:rPr>
          <w:rFonts w:hint="eastAsia"/>
        </w:rPr>
        <w:t>的</w:t>
      </w:r>
      <w:r w:rsidR="00725991">
        <w:rPr>
          <w:rFonts w:hint="eastAsia"/>
        </w:rPr>
        <w:t>情况。</w:t>
      </w:r>
    </w:p>
    <w:p w14:paraId="47466419" w14:textId="5D769FE1" w:rsidR="00066B8F" w:rsidRDefault="00697023" w:rsidP="00066B8F">
      <w:pPr>
        <w:pStyle w:val="10"/>
        <w:ind w:firstLineChars="200" w:firstLine="640"/>
      </w:pPr>
      <w:r>
        <w:rPr>
          <w:rFonts w:hint="eastAsia"/>
        </w:rPr>
        <w:t>业绩评价</w:t>
      </w:r>
      <w:r w:rsidR="00066B8F">
        <w:rPr>
          <w:rFonts w:hint="eastAsia"/>
        </w:rPr>
        <w:t>指标</w:t>
      </w:r>
    </w:p>
    <w:p w14:paraId="0053D117" w14:textId="2AE0715A" w:rsidR="00066B8F" w:rsidRPr="00066B8F" w:rsidRDefault="00066B8F" w:rsidP="00066B8F">
      <w:pPr>
        <w:pStyle w:val="a7"/>
        <w:ind w:firstLine="640"/>
      </w:pPr>
      <w:r>
        <w:rPr>
          <w:rFonts w:hint="eastAsia"/>
        </w:rPr>
        <w:t>基金管理人应当</w:t>
      </w:r>
      <w:r w:rsidR="00D3003C">
        <w:rPr>
          <w:rFonts w:hint="eastAsia"/>
        </w:rPr>
        <w:t>全面展现基金运作期间的详细情况，</w:t>
      </w:r>
      <w:r>
        <w:rPr>
          <w:rFonts w:hint="eastAsia"/>
        </w:rPr>
        <w:t>对披露期内的基本业绩及风险监测指标等运行指标进行披露，包括但不限于</w:t>
      </w:r>
      <w:r w:rsidR="00697023">
        <w:rPr>
          <w:rFonts w:hint="eastAsia"/>
        </w:rPr>
        <w:t>区间年化收益率、夏普比率、年化波动率、最大回撤和卡玛比率。</w:t>
      </w:r>
    </w:p>
    <w:p w14:paraId="55ED07F3" w14:textId="398A267C" w:rsidR="005F4A3B" w:rsidRDefault="00674471" w:rsidP="005F4A3B">
      <w:pPr>
        <w:pStyle w:val="10"/>
        <w:ind w:firstLine="640"/>
      </w:pPr>
      <w:r>
        <w:rPr>
          <w:rFonts w:hint="eastAsia"/>
        </w:rPr>
        <w:t>费用</w:t>
      </w:r>
    </w:p>
    <w:p w14:paraId="03F3309A" w14:textId="7F6951C6" w:rsidR="005F4A3B" w:rsidRPr="005F4A3B" w:rsidRDefault="00D3003C" w:rsidP="005F4A3B">
      <w:pPr>
        <w:pStyle w:val="a7"/>
        <w:ind w:firstLine="640"/>
      </w:pPr>
      <w:r>
        <w:rPr>
          <w:rFonts w:hint="eastAsia"/>
        </w:rPr>
        <w:t>基金管理人应当</w:t>
      </w:r>
      <w:r w:rsidR="005F4A3B">
        <w:rPr>
          <w:rFonts w:hint="eastAsia"/>
        </w:rPr>
        <w:t>确保投资者在整个基金运行层面的各个阶段，对基金的费率标准、结构及计算方法获得清晰充分</w:t>
      </w:r>
      <w:r w:rsidR="005F4A3B">
        <w:rPr>
          <w:rFonts w:hint="eastAsia"/>
        </w:rPr>
        <w:lastRenderedPageBreak/>
        <w:t>的信息，包括固定费用、业绩报酬等。</w:t>
      </w:r>
    </w:p>
    <w:p w14:paraId="248D752F" w14:textId="03C23450" w:rsidR="00674471" w:rsidRDefault="00674471" w:rsidP="0068161F">
      <w:pPr>
        <w:pStyle w:val="a"/>
        <w:numPr>
          <w:ilvl w:val="0"/>
          <w:numId w:val="7"/>
        </w:numPr>
        <w:ind w:firstLine="640"/>
      </w:pPr>
      <w:r>
        <w:rPr>
          <w:rFonts w:hint="eastAsia"/>
        </w:rPr>
        <w:t>明确投资策略，防止策略风格飘移</w:t>
      </w:r>
    </w:p>
    <w:p w14:paraId="4C5D8434" w14:textId="7767BFA7" w:rsidR="00E841C5" w:rsidRPr="00E841C5" w:rsidRDefault="00922B8B" w:rsidP="00E841C5">
      <w:pPr>
        <w:pStyle w:val="a7"/>
        <w:ind w:firstLine="640"/>
      </w:pPr>
      <w:r>
        <w:rPr>
          <w:rFonts w:hint="eastAsia"/>
        </w:rPr>
        <w:t>基金管理人应当与投资者就基金投资策略进行明确约</w:t>
      </w:r>
      <w:r w:rsidR="00D85460">
        <w:rPr>
          <w:rFonts w:hint="eastAsia"/>
        </w:rPr>
        <w:t>定</w:t>
      </w:r>
      <w:r>
        <w:rPr>
          <w:rFonts w:hint="eastAsia"/>
        </w:rPr>
        <w:t>，防止投资经理偏离预先宣传的投资风格</w:t>
      </w:r>
      <w:r w:rsidR="000637D9">
        <w:rPr>
          <w:rFonts w:hint="eastAsia"/>
        </w:rPr>
        <w:t>，而导致基金整体风险的变化</w:t>
      </w:r>
      <w:r w:rsidR="00D85460">
        <w:rPr>
          <w:rFonts w:hint="eastAsia"/>
        </w:rPr>
        <w:t>，从而严重影响投资者利益。管理人应当在因市场</w:t>
      </w:r>
      <w:r w:rsidR="00F3088F">
        <w:rPr>
          <w:rFonts w:hint="eastAsia"/>
        </w:rPr>
        <w:t>条件变化等需要改变投资策略的情况下，积极与投资者进行沟通，披露策略转换计划及新策略内容。</w:t>
      </w:r>
    </w:p>
    <w:p w14:paraId="01789980" w14:textId="257C5768" w:rsidR="005E2E97" w:rsidRDefault="00F3088F" w:rsidP="0068161F">
      <w:pPr>
        <w:pStyle w:val="a"/>
        <w:numPr>
          <w:ilvl w:val="0"/>
          <w:numId w:val="7"/>
        </w:numPr>
        <w:ind w:firstLine="640"/>
      </w:pPr>
      <w:r>
        <w:rPr>
          <w:rFonts w:hint="eastAsia"/>
        </w:rPr>
        <w:t>明确</w:t>
      </w:r>
      <w:r w:rsidR="00815DEC">
        <w:rPr>
          <w:rFonts w:hint="eastAsia"/>
        </w:rPr>
        <w:t>估值</w:t>
      </w:r>
      <w:r>
        <w:rPr>
          <w:rFonts w:hint="eastAsia"/>
        </w:rPr>
        <w:t>方法</w:t>
      </w:r>
    </w:p>
    <w:p w14:paraId="2E31F32B" w14:textId="588BD185" w:rsidR="00F3088F" w:rsidRPr="00F3088F" w:rsidRDefault="00A47C57" w:rsidP="00F3088F">
      <w:pPr>
        <w:pStyle w:val="a7"/>
        <w:ind w:firstLine="640"/>
      </w:pPr>
      <w:r>
        <w:rPr>
          <w:rFonts w:hint="eastAsia"/>
        </w:rPr>
        <w:t>估值的准确性及合理性可以直接影响基金的业绩表现、费率计算等各方面情况，尤其是非标类场外衍生品的估值较为复杂。因此，进一步明确了期货和衍生品类资产应当按照公允价值法进行估值，且管理人的估值责任不因使用第三方数据而免除。</w:t>
      </w:r>
    </w:p>
    <w:p w14:paraId="534F9631" w14:textId="34950363" w:rsidR="00E858E7" w:rsidRDefault="00E858E7" w:rsidP="0068161F">
      <w:pPr>
        <w:pStyle w:val="a"/>
        <w:numPr>
          <w:ilvl w:val="0"/>
          <w:numId w:val="7"/>
        </w:numPr>
        <w:ind w:firstLine="640"/>
      </w:pPr>
      <w:r>
        <w:rPr>
          <w:rFonts w:hint="eastAsia"/>
        </w:rPr>
        <w:t>重大事</w:t>
      </w:r>
      <w:r w:rsidR="00D8264B">
        <w:rPr>
          <w:rFonts w:hint="eastAsia"/>
        </w:rPr>
        <w:t>项</w:t>
      </w:r>
      <w:r>
        <w:rPr>
          <w:rFonts w:hint="eastAsia"/>
        </w:rPr>
        <w:t>披露</w:t>
      </w:r>
    </w:p>
    <w:p w14:paraId="5D804B0F" w14:textId="00BD1A3C" w:rsidR="00435D60" w:rsidRPr="00435D60" w:rsidRDefault="00435D60" w:rsidP="00435D60">
      <w:pPr>
        <w:pStyle w:val="a7"/>
        <w:ind w:firstLine="640"/>
      </w:pPr>
      <w:r>
        <w:rPr>
          <w:rFonts w:hint="eastAsia"/>
        </w:rPr>
        <w:t>对应当对投资者披露的重大事件进行明确，一是基金规模的重大变化及其原因，二是</w:t>
      </w:r>
      <w:r w:rsidR="00D8264B">
        <w:rPr>
          <w:rFonts w:hint="eastAsia"/>
        </w:rPr>
        <w:t>基金</w:t>
      </w:r>
      <w:r>
        <w:rPr>
          <w:rFonts w:hint="eastAsia"/>
        </w:rPr>
        <w:t>违约情况，三是</w:t>
      </w:r>
      <w:r w:rsidR="00D8264B">
        <w:rPr>
          <w:rFonts w:hint="eastAsia"/>
        </w:rPr>
        <w:t>交易对手方违约情况</w:t>
      </w:r>
      <w:r w:rsidR="004310BF">
        <w:rPr>
          <w:rFonts w:hint="eastAsia"/>
        </w:rPr>
        <w:t>，</w:t>
      </w:r>
      <w:r w:rsidR="00D8264B">
        <w:rPr>
          <w:rFonts w:hint="eastAsia"/>
        </w:rPr>
        <w:t>四</w:t>
      </w:r>
      <w:r>
        <w:rPr>
          <w:rFonts w:hint="eastAsia"/>
        </w:rPr>
        <w:t>是</w:t>
      </w:r>
      <w:r w:rsidR="004310BF">
        <w:rPr>
          <w:rFonts w:hint="eastAsia"/>
        </w:rPr>
        <w:t>特殊交易</w:t>
      </w:r>
      <w:r>
        <w:rPr>
          <w:rFonts w:hint="eastAsia"/>
        </w:rPr>
        <w:t>。</w:t>
      </w:r>
    </w:p>
    <w:p w14:paraId="22614FEC" w14:textId="77777777" w:rsidR="00615879" w:rsidRDefault="00E858E7" w:rsidP="0068161F">
      <w:pPr>
        <w:pStyle w:val="a"/>
        <w:numPr>
          <w:ilvl w:val="0"/>
          <w:numId w:val="7"/>
        </w:numPr>
        <w:ind w:firstLine="640"/>
      </w:pPr>
      <w:r>
        <w:rPr>
          <w:rFonts w:hint="eastAsia"/>
        </w:rPr>
        <w:t>风险控制体系</w:t>
      </w:r>
    </w:p>
    <w:p w14:paraId="3A6BE320" w14:textId="586B8A8D" w:rsidR="00E858E7" w:rsidRDefault="00E841C5" w:rsidP="00E858E7">
      <w:pPr>
        <w:pStyle w:val="a7"/>
        <w:ind w:firstLine="640"/>
      </w:pPr>
      <w:r>
        <w:rPr>
          <w:rFonts w:hint="eastAsia"/>
        </w:rPr>
        <w:t>推动</w:t>
      </w:r>
      <w:r w:rsidR="00615879">
        <w:rPr>
          <w:rFonts w:hint="eastAsia"/>
        </w:rPr>
        <w:t>基金管理人内部设立动态风险管理机制，根据产品运作周期和风险敞口的变化，主动先发动态调整产品风险控制安排，为风险事件处置预留时间</w:t>
      </w:r>
      <w:r>
        <w:rPr>
          <w:rFonts w:hint="eastAsia"/>
        </w:rPr>
        <w:t>。同时将与基金风险轮廓、敞口动态情况等风险管理机制与风险信息及时准确向投资者披露。</w:t>
      </w:r>
    </w:p>
    <w:p w14:paraId="30AF3138" w14:textId="6F503D34" w:rsidR="0033524C" w:rsidRDefault="0033524C" w:rsidP="0033524C">
      <w:pPr>
        <w:pStyle w:val="a"/>
        <w:numPr>
          <w:ilvl w:val="0"/>
          <w:numId w:val="7"/>
        </w:numPr>
        <w:ind w:firstLine="640"/>
      </w:pPr>
      <w:r>
        <w:rPr>
          <w:rFonts w:hint="eastAsia"/>
        </w:rPr>
        <w:t>展示基金管理人信用情况</w:t>
      </w:r>
    </w:p>
    <w:p w14:paraId="7448E900" w14:textId="78C203B3" w:rsidR="0033524C" w:rsidRPr="0033524C" w:rsidRDefault="0033524C" w:rsidP="0033524C">
      <w:pPr>
        <w:pStyle w:val="a7"/>
        <w:ind w:firstLine="640"/>
        <w:rPr>
          <w:rFonts w:ascii="宋体" w:hAnsi="宋体" w:cs="宋体"/>
          <w:kern w:val="0"/>
          <w:sz w:val="24"/>
          <w:szCs w:val="24"/>
        </w:rPr>
      </w:pPr>
      <w:r>
        <w:rPr>
          <w:rFonts w:hint="eastAsia"/>
        </w:rPr>
        <w:lastRenderedPageBreak/>
        <w:t>《</w:t>
      </w:r>
      <w:r w:rsidRPr="0033524C">
        <w:rPr>
          <w:rFonts w:hint="eastAsia"/>
        </w:rPr>
        <w:t>期货经营机构资产管理业务信用报告</w:t>
      </w:r>
      <w:r>
        <w:rPr>
          <w:rFonts w:hint="eastAsia"/>
        </w:rPr>
        <w:t>》</w:t>
      </w:r>
      <w:r w:rsidRPr="0033524C">
        <w:rPr>
          <w:rFonts w:cs="宋体" w:hint="eastAsia"/>
          <w:kern w:val="0"/>
        </w:rPr>
        <w:t>是基于期货经营机构合法合规情况及其向协会报送的公司治理、业务发展、投资管理、内部控制及合规风险管理方面的信息，</w:t>
      </w:r>
      <w:r w:rsidRPr="0033524C">
        <w:rPr>
          <w:rFonts w:hint="eastAsia"/>
        </w:rPr>
        <w:t>从经营管理的稳定度</w:t>
      </w:r>
      <w:r w:rsidRPr="0033524C">
        <w:rPr>
          <w:rFonts w:cs="宋体" w:hint="eastAsia"/>
          <w:kern w:val="0"/>
        </w:rPr>
        <w:t>、业务长效发展性、投资运作的专业性和业务开展的合规性四个维度持续记录资产管理业务综合情况</w:t>
      </w:r>
      <w:r>
        <w:rPr>
          <w:rFonts w:cs="宋体" w:hint="eastAsia"/>
          <w:kern w:val="0"/>
        </w:rPr>
        <w:t>，可以有效帮助投资者全面了解基金管理人的基本情况，</w:t>
      </w:r>
      <w:r w:rsidR="00185E1C">
        <w:rPr>
          <w:rFonts w:cs="宋体" w:hint="eastAsia"/>
          <w:kern w:val="0"/>
        </w:rPr>
        <w:t>鼓励基金管理人</w:t>
      </w:r>
      <w:r>
        <w:rPr>
          <w:rFonts w:cs="宋体" w:hint="eastAsia"/>
          <w:kern w:val="0"/>
        </w:rPr>
        <w:t>在签订基金合同时，主动向投资者展示。</w:t>
      </w:r>
    </w:p>
    <w:p w14:paraId="2C00B7E7" w14:textId="23B1D269" w:rsidR="00726DF9" w:rsidRDefault="00726DF9" w:rsidP="00726DF9">
      <w:pPr>
        <w:pStyle w:val="a"/>
        <w:numPr>
          <w:ilvl w:val="0"/>
          <w:numId w:val="7"/>
        </w:numPr>
        <w:ind w:firstLine="640"/>
      </w:pPr>
      <w:r>
        <w:rPr>
          <w:rFonts w:hint="eastAsia"/>
        </w:rPr>
        <w:t>底线性禁止行为</w:t>
      </w:r>
    </w:p>
    <w:p w14:paraId="703E21AE" w14:textId="380FFD0C" w:rsidR="00726DF9" w:rsidRDefault="0033524C" w:rsidP="00726DF9">
      <w:pPr>
        <w:pStyle w:val="a7"/>
        <w:ind w:firstLine="640"/>
      </w:pPr>
      <w:r>
        <w:rPr>
          <w:rFonts w:hint="eastAsia"/>
        </w:rPr>
        <w:t>基金</w:t>
      </w:r>
      <w:r w:rsidR="00726DF9">
        <w:rPr>
          <w:rFonts w:hint="eastAsia"/>
        </w:rPr>
        <w:t>管理人应当在合同中明确，不对投资者采用任何底线性禁止行为，即不对基金中现有或潜在投资者实施欺诈违法，不对投资者的推介材料、定期披露报告等资料中做错误陈述或误导性陈述。</w:t>
      </w:r>
    </w:p>
    <w:p w14:paraId="77E1CA8D" w14:textId="1A9EFA03" w:rsidR="00726DF9" w:rsidRPr="00726DF9" w:rsidRDefault="00726DF9" w:rsidP="00726DF9">
      <w:pPr>
        <w:pStyle w:val="a7"/>
        <w:ind w:firstLine="640"/>
      </w:pPr>
    </w:p>
    <w:sectPr w:rsidR="00726DF9" w:rsidRPr="00726DF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E587" w14:textId="77777777" w:rsidR="00D86BA4" w:rsidRDefault="00D86BA4" w:rsidP="003524C9">
      <w:r>
        <w:separator/>
      </w:r>
    </w:p>
  </w:endnote>
  <w:endnote w:type="continuationSeparator" w:id="0">
    <w:p w14:paraId="13998FED" w14:textId="77777777" w:rsidR="00D86BA4" w:rsidRDefault="00D86BA4" w:rsidP="0035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default"/>
    <w:sig w:usb0="E0002AFF" w:usb1="C80E7843" w:usb2="00000019" w:usb3="00000000" w:csb0="0004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B0604020202020204"/>
    <w:charset w:val="86"/>
    <w:family w:val="script"/>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76382530"/>
      <w:docPartObj>
        <w:docPartGallery w:val="Page Numbers (Bottom of Page)"/>
        <w:docPartUnique/>
      </w:docPartObj>
    </w:sdtPr>
    <w:sdtContent>
      <w:p w14:paraId="3FDB29AC" w14:textId="3B2573BB" w:rsidR="003524C9" w:rsidRDefault="003524C9" w:rsidP="00101C9B">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10484712" w14:textId="77777777" w:rsidR="003524C9" w:rsidRDefault="003524C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383447193"/>
      <w:docPartObj>
        <w:docPartGallery w:val="Page Numbers (Bottom of Page)"/>
        <w:docPartUnique/>
      </w:docPartObj>
    </w:sdtPr>
    <w:sdtContent>
      <w:p w14:paraId="0435F64A" w14:textId="0FF48B56" w:rsidR="003524C9" w:rsidRDefault="003524C9" w:rsidP="00101C9B">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14:paraId="5069C1A0" w14:textId="77777777" w:rsidR="003524C9" w:rsidRDefault="003524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AE5E" w14:textId="77777777" w:rsidR="00D86BA4" w:rsidRDefault="00D86BA4" w:rsidP="003524C9">
      <w:r>
        <w:separator/>
      </w:r>
    </w:p>
  </w:footnote>
  <w:footnote w:type="continuationSeparator" w:id="0">
    <w:p w14:paraId="622752DC" w14:textId="77777777" w:rsidR="00D86BA4" w:rsidRDefault="00D86BA4" w:rsidP="0035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83C"/>
    <w:multiLevelType w:val="hybridMultilevel"/>
    <w:tmpl w:val="4F34E144"/>
    <w:lvl w:ilvl="0" w:tplc="7ACC74E8">
      <w:start w:val="1"/>
      <w:numFmt w:val="chineseCountingThousand"/>
      <w:lvlText w:val="%1、"/>
      <w:lvlJc w:val="left"/>
      <w:pPr>
        <w:ind w:left="0" w:firstLine="0"/>
      </w:pPr>
      <w:rPr>
        <w:rFonts w:ascii="黑体" w:eastAsia="黑体" w:hAnsi="黑体" w:hint="eastAsia"/>
        <w:b/>
        <w:bCs/>
        <w:i w: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F1F2027"/>
    <w:multiLevelType w:val="hybridMultilevel"/>
    <w:tmpl w:val="70805B6E"/>
    <w:lvl w:ilvl="0" w:tplc="AB601846">
      <w:start w:val="1"/>
      <w:numFmt w:val="chineseCountingThousand"/>
      <w:lvlText w:val="(%1)"/>
      <w:lvlJc w:val="left"/>
      <w:pPr>
        <w:ind w:left="0" w:firstLine="0"/>
      </w:pPr>
      <w:rPr>
        <w:rFonts w:ascii="楷体" w:eastAsia="楷体" w:hAnsi="楷体" w:hint="eastAsia"/>
        <w:b w:val="0"/>
        <w:i w:val="0"/>
        <w:w w:val="1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C75A3C"/>
    <w:multiLevelType w:val="hybridMultilevel"/>
    <w:tmpl w:val="F91686E8"/>
    <w:lvl w:ilvl="0" w:tplc="EBD85B04">
      <w:start w:val="1"/>
      <w:numFmt w:val="japaneseCounting"/>
      <w:lvlText w:val="%1、"/>
      <w:lvlJc w:val="left"/>
      <w:pPr>
        <w:ind w:left="420" w:hanging="4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7146B7"/>
    <w:multiLevelType w:val="hybridMultilevel"/>
    <w:tmpl w:val="1CEE4B4C"/>
    <w:lvl w:ilvl="0" w:tplc="CADAC98A">
      <w:start w:val="1"/>
      <w:numFmt w:val="decimal"/>
      <w:lvlText w:val="%1."/>
      <w:lvlJc w:val="left"/>
      <w:pPr>
        <w:ind w:left="0" w:firstLine="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012EA"/>
    <w:multiLevelType w:val="multilevel"/>
    <w:tmpl w:val="49E2E904"/>
    <w:styleLink w:val="1"/>
    <w:lvl w:ilvl="0">
      <w:start w:val="1"/>
      <w:numFmt w:val="chineseCountingThousand"/>
      <w:lvlText w:val="%1、"/>
      <w:lvlJc w:val="left"/>
      <w:pPr>
        <w:ind w:left="620" w:hanging="420"/>
      </w:pPr>
      <w:rPr>
        <w:rFonts w:ascii="黑体" w:eastAsia="黑体" w:hAnsi="黑体"/>
        <w:b/>
        <w:bCs/>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41370EC9"/>
    <w:multiLevelType w:val="hybridMultilevel"/>
    <w:tmpl w:val="EAD460E0"/>
    <w:lvl w:ilvl="0" w:tplc="D2FEE694">
      <w:start w:val="1"/>
      <w:numFmt w:val="decimal"/>
      <w:pStyle w:val="10"/>
      <w:lvlText w:val="%1."/>
      <w:lvlJc w:val="left"/>
      <w:pPr>
        <w:ind w:left="0" w:firstLine="0"/>
      </w:pPr>
      <w:rPr>
        <w:rFonts w:ascii="仿宋" w:eastAsia="仿宋" w:hAnsi="仿宋"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39528A"/>
    <w:multiLevelType w:val="multilevel"/>
    <w:tmpl w:val="F1FE37EC"/>
    <w:styleLink w:val="3"/>
    <w:lvl w:ilvl="0">
      <w:start w:val="1"/>
      <w:numFmt w:val="chineseCountingThousand"/>
      <w:lvlText w:val="%1、"/>
      <w:lvlJc w:val="left"/>
      <w:pPr>
        <w:ind w:left="0" w:firstLine="0"/>
      </w:pPr>
      <w:rPr>
        <w:rFonts w:ascii="楷体" w:eastAsia="楷体" w:hAnsi="楷体" w:hint="eastAsia"/>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8C24B8"/>
    <w:multiLevelType w:val="multilevel"/>
    <w:tmpl w:val="F1FE37EC"/>
    <w:styleLink w:val="2"/>
    <w:lvl w:ilvl="0">
      <w:start w:val="1"/>
      <w:numFmt w:val="chineseCountingThousand"/>
      <w:lvlText w:val="%1、"/>
      <w:lvlJc w:val="left"/>
      <w:pPr>
        <w:ind w:left="0" w:firstLine="0"/>
      </w:pPr>
      <w:rPr>
        <w:rFonts w:ascii="楷体" w:eastAsia="楷体" w:hAnsi="楷体" w:hint="eastAsia"/>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BA33D74"/>
    <w:multiLevelType w:val="hybridMultilevel"/>
    <w:tmpl w:val="4530D46A"/>
    <w:lvl w:ilvl="0" w:tplc="9746E6A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6B475ECC"/>
    <w:multiLevelType w:val="hybridMultilevel"/>
    <w:tmpl w:val="CEB459AE"/>
    <w:lvl w:ilvl="0" w:tplc="630EA8C4">
      <w:start w:val="1"/>
      <w:numFmt w:val="chineseCountingThousand"/>
      <w:pStyle w:val="a"/>
      <w:lvlText w:val="(%1)"/>
      <w:lvlJc w:val="left"/>
      <w:pPr>
        <w:ind w:left="0" w:firstLine="0"/>
      </w:pPr>
      <w:rPr>
        <w:rFonts w:ascii="楷体" w:eastAsia="楷体" w:hAnsi="楷体" w:hint="eastAsia"/>
        <w:b w:val="0"/>
        <w:i w:val="0"/>
        <w:w w:val="1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88475D"/>
    <w:multiLevelType w:val="hybridMultilevel"/>
    <w:tmpl w:val="155CDA90"/>
    <w:lvl w:ilvl="0" w:tplc="CEB8FCC8">
      <w:start w:val="1"/>
      <w:numFmt w:val="chineseCountingThousand"/>
      <w:pStyle w:val="a0"/>
      <w:lvlText w:val="%1、"/>
      <w:lvlJc w:val="left"/>
      <w:pPr>
        <w:ind w:left="0" w:firstLine="0"/>
      </w:pPr>
      <w:rPr>
        <w:rFonts w:ascii="黑体" w:eastAsia="黑体" w:hAnsi="黑体" w:hint="eastAsia"/>
        <w:b w:val="0"/>
        <w:bCs/>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2165449">
    <w:abstractNumId w:val="2"/>
  </w:num>
  <w:num w:numId="2" w16cid:durableId="367989629">
    <w:abstractNumId w:val="8"/>
  </w:num>
  <w:num w:numId="3" w16cid:durableId="1888713282">
    <w:abstractNumId w:val="0"/>
  </w:num>
  <w:num w:numId="4" w16cid:durableId="1194534348">
    <w:abstractNumId w:val="4"/>
  </w:num>
  <w:num w:numId="5" w16cid:durableId="1558852655">
    <w:abstractNumId w:val="1"/>
  </w:num>
  <w:num w:numId="6" w16cid:durableId="426662204">
    <w:abstractNumId w:val="3"/>
  </w:num>
  <w:num w:numId="7" w16cid:durableId="2039161965">
    <w:abstractNumId w:val="1"/>
    <w:lvlOverride w:ilvl="0">
      <w:startOverride w:val="1"/>
    </w:lvlOverride>
  </w:num>
  <w:num w:numId="8" w16cid:durableId="924459010">
    <w:abstractNumId w:val="1"/>
  </w:num>
  <w:num w:numId="9" w16cid:durableId="204373686">
    <w:abstractNumId w:val="9"/>
  </w:num>
  <w:num w:numId="10" w16cid:durableId="696270509">
    <w:abstractNumId w:val="5"/>
  </w:num>
  <w:num w:numId="11" w16cid:durableId="2056420112">
    <w:abstractNumId w:val="10"/>
  </w:num>
  <w:num w:numId="12" w16cid:durableId="1914655588">
    <w:abstractNumId w:val="7"/>
  </w:num>
  <w:num w:numId="13" w16cid:durableId="1148791004">
    <w:abstractNumId w:val="6"/>
  </w:num>
  <w:num w:numId="14" w16cid:durableId="1104955108">
    <w:abstractNumId w:val="9"/>
    <w:lvlOverride w:ilvl="0">
      <w:startOverride w:val="1"/>
    </w:lvlOverride>
  </w:num>
  <w:num w:numId="15" w16cid:durableId="156265128">
    <w:abstractNumId w:val="9"/>
  </w:num>
  <w:num w:numId="16" w16cid:durableId="641232974">
    <w:abstractNumId w:val="9"/>
  </w:num>
  <w:num w:numId="17" w16cid:durableId="961378437">
    <w:abstractNumId w:val="5"/>
  </w:num>
  <w:num w:numId="18" w16cid:durableId="1571303113">
    <w:abstractNumId w:val="9"/>
  </w:num>
  <w:num w:numId="19" w16cid:durableId="945767807">
    <w:abstractNumId w:val="9"/>
  </w:num>
  <w:num w:numId="20" w16cid:durableId="1833176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9B"/>
    <w:rsid w:val="000637D9"/>
    <w:rsid w:val="00066B8F"/>
    <w:rsid w:val="000821DA"/>
    <w:rsid w:val="00084780"/>
    <w:rsid w:val="000C2482"/>
    <w:rsid w:val="000E34AF"/>
    <w:rsid w:val="000F6BB3"/>
    <w:rsid w:val="00103891"/>
    <w:rsid w:val="00106EC3"/>
    <w:rsid w:val="00114828"/>
    <w:rsid w:val="00152528"/>
    <w:rsid w:val="00166717"/>
    <w:rsid w:val="00172CCD"/>
    <w:rsid w:val="00185E1C"/>
    <w:rsid w:val="001875D1"/>
    <w:rsid w:val="00194A57"/>
    <w:rsid w:val="001B0D44"/>
    <w:rsid w:val="001E0200"/>
    <w:rsid w:val="001F7141"/>
    <w:rsid w:val="0020440D"/>
    <w:rsid w:val="00224335"/>
    <w:rsid w:val="002924EC"/>
    <w:rsid w:val="00307D3A"/>
    <w:rsid w:val="0033524C"/>
    <w:rsid w:val="00350F66"/>
    <w:rsid w:val="003524C9"/>
    <w:rsid w:val="00382A26"/>
    <w:rsid w:val="003D1286"/>
    <w:rsid w:val="004310BF"/>
    <w:rsid w:val="00435D60"/>
    <w:rsid w:val="0048509B"/>
    <w:rsid w:val="004B4BDC"/>
    <w:rsid w:val="004C4802"/>
    <w:rsid w:val="004E07B4"/>
    <w:rsid w:val="00511260"/>
    <w:rsid w:val="00580011"/>
    <w:rsid w:val="005E2E97"/>
    <w:rsid w:val="005F4A3B"/>
    <w:rsid w:val="00615879"/>
    <w:rsid w:val="00646406"/>
    <w:rsid w:val="00674471"/>
    <w:rsid w:val="0068161F"/>
    <w:rsid w:val="00697023"/>
    <w:rsid w:val="006A54A7"/>
    <w:rsid w:val="006C7E44"/>
    <w:rsid w:val="00725991"/>
    <w:rsid w:val="00726DF9"/>
    <w:rsid w:val="007C5190"/>
    <w:rsid w:val="007D0457"/>
    <w:rsid w:val="007E19BE"/>
    <w:rsid w:val="00815DEC"/>
    <w:rsid w:val="00850A34"/>
    <w:rsid w:val="00867B8E"/>
    <w:rsid w:val="0089410D"/>
    <w:rsid w:val="008A19F9"/>
    <w:rsid w:val="008B6C98"/>
    <w:rsid w:val="00922B8B"/>
    <w:rsid w:val="009231D7"/>
    <w:rsid w:val="0092572A"/>
    <w:rsid w:val="009415A2"/>
    <w:rsid w:val="009831B9"/>
    <w:rsid w:val="00996777"/>
    <w:rsid w:val="009C7860"/>
    <w:rsid w:val="009E03FC"/>
    <w:rsid w:val="00A02948"/>
    <w:rsid w:val="00A213ED"/>
    <w:rsid w:val="00A47C57"/>
    <w:rsid w:val="00B41642"/>
    <w:rsid w:val="00B7697B"/>
    <w:rsid w:val="00C02347"/>
    <w:rsid w:val="00C440E7"/>
    <w:rsid w:val="00CF720F"/>
    <w:rsid w:val="00D27655"/>
    <w:rsid w:val="00D3003C"/>
    <w:rsid w:val="00D37E6D"/>
    <w:rsid w:val="00D748FC"/>
    <w:rsid w:val="00D8264B"/>
    <w:rsid w:val="00D85460"/>
    <w:rsid w:val="00D86BA4"/>
    <w:rsid w:val="00DA72F9"/>
    <w:rsid w:val="00DB35F0"/>
    <w:rsid w:val="00E339A1"/>
    <w:rsid w:val="00E841C5"/>
    <w:rsid w:val="00E858E7"/>
    <w:rsid w:val="00E955B4"/>
    <w:rsid w:val="00F3088F"/>
    <w:rsid w:val="00F36909"/>
    <w:rsid w:val="00F83FBA"/>
    <w:rsid w:val="00FA1302"/>
    <w:rsid w:val="00FA7418"/>
    <w:rsid w:val="00FE3A44"/>
    <w:rsid w:val="00FE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66BC"/>
  <w15:chartTrackingRefBased/>
  <w15:docId w15:val="{509C98D0-C340-0042-BE58-25977629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161F"/>
    <w:pPr>
      <w:widowControl w:val="0"/>
      <w:jc w:val="both"/>
    </w:pPr>
    <w:rPr>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48509B"/>
    <w:pPr>
      <w:ind w:firstLineChars="200" w:firstLine="420"/>
    </w:pPr>
  </w:style>
  <w:style w:type="paragraph" w:styleId="a6">
    <w:name w:val="Normal (Web)"/>
    <w:basedOn w:val="a1"/>
    <w:uiPriority w:val="99"/>
    <w:semiHidden/>
    <w:unhideWhenUsed/>
    <w:rsid w:val="00867B8E"/>
    <w:pPr>
      <w:widowControl/>
      <w:spacing w:before="100" w:beforeAutospacing="1" w:after="100" w:afterAutospacing="1"/>
      <w:jc w:val="left"/>
    </w:pPr>
    <w:rPr>
      <w:rFonts w:ascii="宋体" w:hAnsi="宋体" w:cs="宋体"/>
      <w:kern w:val="0"/>
      <w:sz w:val="24"/>
    </w:rPr>
  </w:style>
  <w:style w:type="paragraph" w:customStyle="1" w:styleId="6">
    <w:name w:val="6正文"/>
    <w:basedOn w:val="a1"/>
    <w:qFormat/>
    <w:rsid w:val="0068161F"/>
    <w:pPr>
      <w:spacing w:line="560" w:lineRule="exact"/>
      <w:ind w:firstLineChars="200" w:firstLine="200"/>
    </w:pPr>
    <w:rPr>
      <w:rFonts w:ascii="仿宋_GB2312" w:eastAsia="仿宋_GB2312" w:hAnsi="Calibri" w:cs="宋体"/>
      <w:color w:val="000000"/>
      <w:kern w:val="0"/>
      <w:sz w:val="30"/>
      <w:szCs w:val="30"/>
    </w:rPr>
  </w:style>
  <w:style w:type="paragraph" w:customStyle="1" w:styleId="a7">
    <w:name w:val="协会正文"/>
    <w:basedOn w:val="a1"/>
    <w:link w:val="a8"/>
    <w:qFormat/>
    <w:rsid w:val="0068161F"/>
    <w:pPr>
      <w:spacing w:line="560" w:lineRule="exact"/>
      <w:ind w:firstLineChars="200" w:firstLine="200"/>
    </w:pPr>
    <w:rPr>
      <w:rFonts w:ascii="仿宋" w:eastAsia="仿宋" w:hAnsi="仿宋" w:cs="仿宋"/>
      <w:sz w:val="32"/>
      <w:szCs w:val="32"/>
    </w:rPr>
  </w:style>
  <w:style w:type="paragraph" w:customStyle="1" w:styleId="a9">
    <w:name w:val="协会大标题"/>
    <w:basedOn w:val="a1"/>
    <w:qFormat/>
    <w:rsid w:val="0068161F"/>
    <w:pPr>
      <w:snapToGrid w:val="0"/>
      <w:spacing w:line="560" w:lineRule="exact"/>
      <w:jc w:val="center"/>
    </w:pPr>
    <w:rPr>
      <w:rFonts w:ascii="仿宋" w:eastAsia="仿宋" w:hAnsi="仿宋" w:cs="仿宋"/>
      <w:b/>
      <w:bCs/>
      <w:sz w:val="44"/>
    </w:rPr>
  </w:style>
  <w:style w:type="paragraph" w:customStyle="1" w:styleId="a0">
    <w:name w:val="协会标题一"/>
    <w:basedOn w:val="6"/>
    <w:next w:val="a7"/>
    <w:qFormat/>
    <w:rsid w:val="0068161F"/>
    <w:pPr>
      <w:numPr>
        <w:numId w:val="11"/>
      </w:numPr>
      <w:ind w:firstLineChars="0"/>
    </w:pPr>
    <w:rPr>
      <w:rFonts w:ascii="黑体" w:eastAsia="黑体" w:hAnsi="黑体" w:cs="黑体"/>
      <w:sz w:val="32"/>
      <w:szCs w:val="32"/>
    </w:rPr>
  </w:style>
  <w:style w:type="paragraph" w:customStyle="1" w:styleId="a">
    <w:name w:val="协会标题（一）"/>
    <w:basedOn w:val="6"/>
    <w:next w:val="a7"/>
    <w:qFormat/>
    <w:rsid w:val="0068161F"/>
    <w:pPr>
      <w:numPr>
        <w:numId w:val="9"/>
      </w:numPr>
      <w:ind w:firstLineChars="0"/>
    </w:pPr>
    <w:rPr>
      <w:rFonts w:ascii="楷体" w:eastAsia="楷体" w:hAnsi="楷体" w:cs="楷体"/>
      <w:sz w:val="32"/>
      <w:szCs w:val="32"/>
    </w:rPr>
  </w:style>
  <w:style w:type="paragraph" w:customStyle="1" w:styleId="10">
    <w:name w:val="协会标题1"/>
    <w:basedOn w:val="6"/>
    <w:next w:val="a7"/>
    <w:qFormat/>
    <w:rsid w:val="0068161F"/>
    <w:pPr>
      <w:numPr>
        <w:numId w:val="10"/>
      </w:numPr>
      <w:ind w:firstLineChars="0"/>
    </w:pPr>
    <w:rPr>
      <w:rFonts w:ascii="仿宋" w:eastAsia="仿宋" w:hAnsi="仿宋" w:cs="仿宋"/>
      <w:sz w:val="32"/>
      <w:szCs w:val="32"/>
    </w:rPr>
  </w:style>
  <w:style w:type="paragraph" w:styleId="aa">
    <w:name w:val="caption"/>
    <w:basedOn w:val="a1"/>
    <w:next w:val="a1"/>
    <w:qFormat/>
    <w:rsid w:val="0068161F"/>
    <w:pPr>
      <w:spacing w:before="152" w:after="160"/>
    </w:pPr>
    <w:rPr>
      <w:rFonts w:ascii="Arial" w:eastAsia="黑体" w:hAnsi="Arial"/>
    </w:rPr>
  </w:style>
  <w:style w:type="numbering" w:customStyle="1" w:styleId="1">
    <w:name w:val="当前列表1"/>
    <w:uiPriority w:val="99"/>
    <w:rsid w:val="005E2E97"/>
    <w:pPr>
      <w:numPr>
        <w:numId w:val="4"/>
      </w:numPr>
    </w:pPr>
  </w:style>
  <w:style w:type="numbering" w:customStyle="1" w:styleId="2">
    <w:name w:val="当前列表2"/>
    <w:uiPriority w:val="99"/>
    <w:rsid w:val="0068161F"/>
    <w:pPr>
      <w:numPr>
        <w:numId w:val="12"/>
      </w:numPr>
    </w:pPr>
  </w:style>
  <w:style w:type="numbering" w:customStyle="1" w:styleId="3">
    <w:name w:val="当前列表3"/>
    <w:uiPriority w:val="99"/>
    <w:rsid w:val="0068161F"/>
    <w:pPr>
      <w:numPr>
        <w:numId w:val="13"/>
      </w:numPr>
    </w:pPr>
  </w:style>
  <w:style w:type="paragraph" w:styleId="ab">
    <w:name w:val="Revision"/>
    <w:hidden/>
    <w:uiPriority w:val="99"/>
    <w:semiHidden/>
    <w:rsid w:val="008B6C98"/>
    <w:rPr>
      <w:kern w:val="2"/>
      <w:sz w:val="21"/>
    </w:rPr>
  </w:style>
  <w:style w:type="paragraph" w:styleId="ac">
    <w:name w:val="footer"/>
    <w:basedOn w:val="a1"/>
    <w:link w:val="ad"/>
    <w:uiPriority w:val="99"/>
    <w:unhideWhenUsed/>
    <w:rsid w:val="003524C9"/>
    <w:pPr>
      <w:tabs>
        <w:tab w:val="center" w:pos="4153"/>
        <w:tab w:val="right" w:pos="8306"/>
      </w:tabs>
      <w:snapToGrid w:val="0"/>
      <w:jc w:val="left"/>
    </w:pPr>
    <w:rPr>
      <w:sz w:val="18"/>
      <w:szCs w:val="18"/>
    </w:rPr>
  </w:style>
  <w:style w:type="character" w:customStyle="1" w:styleId="ad">
    <w:name w:val="页脚 字符"/>
    <w:basedOn w:val="a2"/>
    <w:link w:val="ac"/>
    <w:uiPriority w:val="99"/>
    <w:rsid w:val="003524C9"/>
    <w:rPr>
      <w:kern w:val="2"/>
      <w:sz w:val="18"/>
      <w:szCs w:val="18"/>
    </w:rPr>
  </w:style>
  <w:style w:type="character" w:styleId="ae">
    <w:name w:val="page number"/>
    <w:basedOn w:val="a2"/>
    <w:uiPriority w:val="99"/>
    <w:semiHidden/>
    <w:unhideWhenUsed/>
    <w:rsid w:val="003524C9"/>
  </w:style>
  <w:style w:type="character" w:customStyle="1" w:styleId="a8">
    <w:name w:val="协会正文 字符"/>
    <w:basedOn w:val="a2"/>
    <w:link w:val="a7"/>
    <w:qFormat/>
    <w:rsid w:val="000F6BB3"/>
    <w:rPr>
      <w:rFonts w:ascii="仿宋" w:eastAsia="仿宋" w:hAnsi="仿宋" w:cs="仿宋"/>
      <w:kern w:val="2"/>
      <w:sz w:val="32"/>
      <w:szCs w:val="32"/>
    </w:rPr>
  </w:style>
  <w:style w:type="paragraph" w:styleId="af">
    <w:name w:val="Title"/>
    <w:basedOn w:val="a1"/>
    <w:next w:val="a1"/>
    <w:link w:val="af0"/>
    <w:qFormat/>
    <w:rsid w:val="00E339A1"/>
    <w:pPr>
      <w:spacing w:line="560" w:lineRule="exact"/>
      <w:outlineLvl w:val="0"/>
    </w:pPr>
    <w:rPr>
      <w:rFonts w:asciiTheme="majorHAnsi" w:eastAsia="方正小标宋简体" w:hAnsiTheme="majorHAnsi" w:cstheme="majorBidi"/>
      <w:b/>
      <w:bCs/>
      <w:kern w:val="0"/>
      <w:sz w:val="44"/>
      <w:szCs w:val="32"/>
    </w:rPr>
  </w:style>
  <w:style w:type="character" w:customStyle="1" w:styleId="af0">
    <w:name w:val="标题 字符"/>
    <w:basedOn w:val="a2"/>
    <w:link w:val="af"/>
    <w:rsid w:val="00E339A1"/>
    <w:rPr>
      <w:rFonts w:asciiTheme="majorHAnsi" w:eastAsia="方正小标宋简体" w:hAnsiTheme="majorHAnsi" w:cstheme="majorBidi"/>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84578">
      <w:bodyDiv w:val="1"/>
      <w:marLeft w:val="0"/>
      <w:marRight w:val="0"/>
      <w:marTop w:val="0"/>
      <w:marBottom w:val="0"/>
      <w:divBdr>
        <w:top w:val="none" w:sz="0" w:space="0" w:color="auto"/>
        <w:left w:val="none" w:sz="0" w:space="0" w:color="auto"/>
        <w:bottom w:val="none" w:sz="0" w:space="0" w:color="auto"/>
        <w:right w:val="none" w:sz="0" w:space="0" w:color="auto"/>
      </w:divBdr>
      <w:divsChild>
        <w:div w:id="819156202">
          <w:marLeft w:val="0"/>
          <w:marRight w:val="0"/>
          <w:marTop w:val="0"/>
          <w:marBottom w:val="0"/>
          <w:divBdr>
            <w:top w:val="none" w:sz="0" w:space="0" w:color="auto"/>
            <w:left w:val="none" w:sz="0" w:space="0" w:color="auto"/>
            <w:bottom w:val="none" w:sz="0" w:space="0" w:color="auto"/>
            <w:right w:val="none" w:sz="0" w:space="0" w:color="auto"/>
          </w:divBdr>
          <w:divsChild>
            <w:div w:id="405542758">
              <w:marLeft w:val="0"/>
              <w:marRight w:val="0"/>
              <w:marTop w:val="0"/>
              <w:marBottom w:val="0"/>
              <w:divBdr>
                <w:top w:val="none" w:sz="0" w:space="0" w:color="auto"/>
                <w:left w:val="none" w:sz="0" w:space="0" w:color="auto"/>
                <w:bottom w:val="none" w:sz="0" w:space="0" w:color="auto"/>
                <w:right w:val="none" w:sz="0" w:space="0" w:color="auto"/>
              </w:divBdr>
              <w:divsChild>
                <w:div w:id="17359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3378">
      <w:bodyDiv w:val="1"/>
      <w:marLeft w:val="0"/>
      <w:marRight w:val="0"/>
      <w:marTop w:val="0"/>
      <w:marBottom w:val="0"/>
      <w:divBdr>
        <w:top w:val="none" w:sz="0" w:space="0" w:color="auto"/>
        <w:left w:val="none" w:sz="0" w:space="0" w:color="auto"/>
        <w:bottom w:val="none" w:sz="0" w:space="0" w:color="auto"/>
        <w:right w:val="none" w:sz="0" w:space="0" w:color="auto"/>
      </w:divBdr>
      <w:divsChild>
        <w:div w:id="401610229">
          <w:marLeft w:val="0"/>
          <w:marRight w:val="0"/>
          <w:marTop w:val="0"/>
          <w:marBottom w:val="0"/>
          <w:divBdr>
            <w:top w:val="none" w:sz="0" w:space="0" w:color="auto"/>
            <w:left w:val="none" w:sz="0" w:space="0" w:color="auto"/>
            <w:bottom w:val="none" w:sz="0" w:space="0" w:color="auto"/>
            <w:right w:val="none" w:sz="0" w:space="0" w:color="auto"/>
          </w:divBdr>
          <w:divsChild>
            <w:div w:id="1195730121">
              <w:marLeft w:val="0"/>
              <w:marRight w:val="0"/>
              <w:marTop w:val="0"/>
              <w:marBottom w:val="0"/>
              <w:divBdr>
                <w:top w:val="none" w:sz="0" w:space="0" w:color="auto"/>
                <w:left w:val="none" w:sz="0" w:space="0" w:color="auto"/>
                <w:bottom w:val="none" w:sz="0" w:space="0" w:color="auto"/>
                <w:right w:val="none" w:sz="0" w:space="0" w:color="auto"/>
              </w:divBdr>
              <w:divsChild>
                <w:div w:id="18831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51750-F1AB-7842-9B14-048D2D7C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1367</Words>
  <Characters>1519</Characters>
  <Application>Microsoft Office Word</Application>
  <DocSecurity>0</DocSecurity>
  <Lines>79</Lines>
  <Paragraphs>65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 高</dc:creator>
  <cp:keywords/>
  <dc:description/>
  <cp:lastModifiedBy>晶 高</cp:lastModifiedBy>
  <cp:revision>4</cp:revision>
  <cp:lastPrinted>2023-06-15T07:44:00Z</cp:lastPrinted>
  <dcterms:created xsi:type="dcterms:W3CDTF">2023-07-17T06:36:00Z</dcterms:created>
  <dcterms:modified xsi:type="dcterms:W3CDTF">2023-07-27T01:27:00Z</dcterms:modified>
</cp:coreProperties>
</file>