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案例报送表</w:t>
      </w:r>
    </w:p>
    <w:p>
      <w:pPr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（注：每个案例单独填写）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一、案例基本信息</w:t>
      </w:r>
    </w:p>
    <w:tbl>
      <w:tblPr>
        <w:tblStyle w:val="5"/>
        <w:tblpPr w:leftFromText="180" w:rightFromText="180" w:vertAnchor="text" w:horzAnchor="page" w:tblpX="1774" w:tblpY="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4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414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案例名称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命名方式：主标题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+副标题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主标题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由公司自取，副标题参照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u w:val="single"/>
              </w:rPr>
              <w:t>机构名称;项目所在地+项目品种+项目类别命名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(如：XX期货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新疆棉花基差贸易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)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服务对象名称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申报案例类别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第一类：运用多种模式服务产业链上、下游案例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第二类：</w:t>
            </w:r>
            <w:r>
              <w:rPr>
                <w:rFonts w:hint="default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支持疫情影响严重地区和行业恢复发展的典型案例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第三类：</w:t>
            </w:r>
            <w:r>
              <w:rPr>
                <w:rFonts w:hint="default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企业运用期货工具进行风险管理的成功案例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第四类：“订单农业+期货”案例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第五类：其他创新或重大影响力案例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第三类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第四类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第五类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服务对象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农业企业□  </w:t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贸易商□ </w:t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合作社、家庭农场等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（请说明__________)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服务对象规模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大型企业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中小企业□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服务对象背景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央企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国企□  民营□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上市公司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外资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其他□ （请说明__________)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auto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主要服务模式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（注：请勾选，如该案例涵盖多种模式，可勾选多项）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A.期现结合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□a.基差贸易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□b.仓单业务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□c.现货购销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□d.合作套保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B.场外衍生品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□e.保险+期货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□f.场外期权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□g.互换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□h.远期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C. 其他</w:t>
            </w:r>
          </w:p>
          <w:p>
            <w:pPr>
              <w:ind w:firstLine="5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□i.投资咨询业务（以为产业客户提供咨询服务为主要内容）</w:t>
            </w:r>
          </w:p>
          <w:p>
            <w:pPr>
              <w:ind w:firstLine="5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□j.资产管理业务（以为产业客户提供风险管理、财富</w:t>
            </w:r>
            <w:r>
              <w:rPr>
                <w:rFonts w:ascii="仿宋" w:hAnsi="仿宋" w:eastAsia="仿宋" w:cs="仿宋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为主要内容）</w:t>
            </w:r>
          </w:p>
          <w:p>
            <w:pPr>
              <w:ind w:firstLine="600" w:firstLineChars="2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□k.交割服务</w:t>
            </w:r>
          </w:p>
          <w:p>
            <w:pPr>
              <w:ind w:firstLine="600" w:firstLineChars="2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□l.含权贸易</w:t>
            </w:r>
          </w:p>
          <w:p>
            <w:pPr>
              <w:ind w:firstLine="600" w:firstLineChars="2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□m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产业客户跨境风险管理</w:t>
            </w:r>
          </w:p>
          <w:p>
            <w:pPr>
              <w:ind w:firstLine="600" w:firstLineChars="2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□n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其他.(如与实体企业合资、设立产业服务基金、仓储物流服务、</w:t>
            </w:r>
            <w:r>
              <w:rPr>
                <w:rFonts w:ascii="仿宋" w:hAnsi="仿宋" w:eastAsia="仿宋" w:cs="仿宋"/>
                <w:sz w:val="24"/>
                <w:szCs w:val="24"/>
              </w:rPr>
              <w:t>服务上市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公司</w:t>
            </w:r>
            <w:r>
              <w:rPr>
                <w:rFonts w:ascii="仿宋" w:hAnsi="仿宋" w:eastAsia="仿宋" w:cs="仿宋"/>
                <w:sz w:val="24"/>
                <w:szCs w:val="24"/>
              </w:rPr>
              <w:t>融资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等) 请具体注明:___________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</w:t>
            </w:r>
            <w:r>
              <w:rPr>
                <w:rFonts w:ascii="仿宋" w:hAnsi="仿宋" w:eastAsia="仿宋" w:cs="仿宋"/>
                <w:sz w:val="28"/>
                <w:szCs w:val="28"/>
              </w:rPr>
              <w:t>涉及主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  <w:r>
              <w:rPr>
                <w:rFonts w:ascii="仿宋" w:hAnsi="仿宋" w:eastAsia="仿宋" w:cs="仿宋"/>
                <w:sz w:val="28"/>
                <w:szCs w:val="28"/>
              </w:rPr>
              <w:t>期货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>期权品种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品种</w:t>
            </w:r>
            <w:r>
              <w:rPr>
                <w:rFonts w:ascii="仿宋" w:hAnsi="仿宋" w:eastAsia="仿宋" w:cs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交易所</w:t>
            </w:r>
            <w:r>
              <w:rPr>
                <w:rFonts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是否交易所项目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联系人姓名、手机号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二、案例要素</w:t>
      </w:r>
    </w:p>
    <w:p/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6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1" w:firstLineChars="5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案例主要内容摘要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（请提炼</w:t>
            </w:r>
            <w:r>
              <w:rPr>
                <w:rFonts w:ascii="仿宋" w:hAnsi="仿宋" w:eastAsia="仿宋" w:cs="仿宋"/>
                <w:sz w:val="28"/>
                <w:szCs w:val="28"/>
              </w:rPr>
              <w:t>概括案例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背景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主体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对象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品种</w:t>
            </w:r>
            <w:r>
              <w:rPr>
                <w:rFonts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模式</w:t>
            </w:r>
            <w:r>
              <w:rPr>
                <w:rFonts w:ascii="仿宋" w:hAnsi="仿宋" w:eastAsia="仿宋" w:cs="仿宋"/>
                <w:sz w:val="28"/>
                <w:szCs w:val="28"/>
              </w:rPr>
              <w:t>、效果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>尽量涵盖关键数据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（必填，300字以内）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</w:tbl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" w:hRule="atLeast"/>
        </w:trPr>
        <w:tc>
          <w:tcPr>
            <w:tcW w:w="3114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案例特色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创新点    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（选填，300字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6242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3114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案例的可复制、推广性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（选填，300字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6242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3114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案例的影响力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（选填，300字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6242" w:type="dxa"/>
          </w:tcPr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0"/>
        </w:rPr>
        <w:t>报送说明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案例报送要求真实、准确、客观、全面。</w:t>
      </w:r>
      <w:r>
        <w:rPr>
          <w:rFonts w:hint="eastAsia" w:ascii="仿宋" w:hAnsi="仿宋" w:eastAsia="仿宋" w:cs="仿宋"/>
          <w:bCs/>
          <w:sz w:val="32"/>
          <w:szCs w:val="32"/>
        </w:rPr>
        <w:t>如涉及的服务对象信息需要保密，期货经营机构可作相应的保密处理。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报送材料需包含案例报送表及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案例</w:t>
      </w:r>
      <w:r>
        <w:rPr>
          <w:rFonts w:hint="eastAsia" w:ascii="仿宋" w:hAnsi="仿宋" w:eastAsia="仿宋" w:cs="仿宋"/>
          <w:bCs/>
          <w:sz w:val="32"/>
          <w:szCs w:val="32"/>
        </w:rPr>
        <w:t>正文（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提供word版本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及PDF公司盖章版本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。协会根据情况可能要求期货经营机构补充其他有关材料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或对案例内容进行修改调整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三、案例正文2000-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000字，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文章结构</w:t>
      </w:r>
      <w:r>
        <w:rPr>
          <w:rFonts w:hint="eastAsia" w:ascii="仿宋" w:hAnsi="仿宋" w:eastAsia="仿宋" w:cs="仿宋"/>
          <w:sz w:val="32"/>
          <w:szCs w:val="32"/>
        </w:rPr>
        <w:t>须包括但不限于以下内容：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（一）项目背景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包括但不限于项目开展的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宏观经济、产业背景</w:t>
      </w:r>
      <w:r>
        <w:rPr>
          <w:rFonts w:hint="eastAsia" w:ascii="仿宋" w:hAnsi="仿宋" w:eastAsia="仿宋" w:cs="仿宋"/>
          <w:sz w:val="32"/>
          <w:szCs w:val="32"/>
        </w:rPr>
        <w:t>；所服务对象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的具体困难与</w:t>
      </w:r>
      <w:r>
        <w:rPr>
          <w:rFonts w:hint="eastAsia" w:ascii="仿宋" w:hAnsi="仿宋" w:eastAsia="仿宋" w:cs="仿宋"/>
          <w:sz w:val="32"/>
          <w:szCs w:val="32"/>
        </w:rPr>
        <w:t>需求情况；项目开展的动因等。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（二）服务方案与开展过程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详细描述项目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具体模式，项目</w:t>
      </w:r>
      <w:r>
        <w:rPr>
          <w:rFonts w:hint="eastAsia" w:ascii="仿宋" w:hAnsi="仿宋" w:eastAsia="仿宋" w:cs="仿宋"/>
          <w:sz w:val="32"/>
          <w:szCs w:val="32"/>
        </w:rPr>
        <w:t>参与对象、标的、具体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操作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与执行过程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三）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总结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分析项目执行效果情况，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总结归纳项目的主要经验、亮点、特色，</w:t>
      </w:r>
      <w:r>
        <w:rPr>
          <w:rFonts w:hint="eastAsia" w:ascii="仿宋" w:hAnsi="仿宋" w:eastAsia="仿宋" w:cs="仿宋"/>
          <w:sz w:val="32"/>
          <w:szCs w:val="32"/>
        </w:rPr>
        <w:t>并用具体数据、材料等支持证明。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四、有关字体格式要求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案例字体中文用仿宋，英文用Arial。文章标题，方正小标宋二号；一级标题，三号黑体；二级标题，三号楷体；其他各级标题及正文，三号。段落两个字缩进，行距28磅。</w:t>
      </w:r>
    </w:p>
    <w:p/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2AD7B1"/>
    <w:multiLevelType w:val="singleLevel"/>
    <w:tmpl w:val="BE2AD7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NTNmZWFlZjcwZDQ3NjEwMGRlM2FmMzgxZjliNmMifQ=="/>
  </w:docVars>
  <w:rsids>
    <w:rsidRoot w:val="1B6E47CD"/>
    <w:rsid w:val="00537685"/>
    <w:rsid w:val="009A36BE"/>
    <w:rsid w:val="00A1064F"/>
    <w:rsid w:val="00D45CB6"/>
    <w:rsid w:val="03A37467"/>
    <w:rsid w:val="03B415AD"/>
    <w:rsid w:val="04BD1E63"/>
    <w:rsid w:val="070065E3"/>
    <w:rsid w:val="16895FB8"/>
    <w:rsid w:val="1B6E47CD"/>
    <w:rsid w:val="1DFB2CDC"/>
    <w:rsid w:val="25E33A70"/>
    <w:rsid w:val="407340C0"/>
    <w:rsid w:val="41600A9D"/>
    <w:rsid w:val="4C6974CC"/>
    <w:rsid w:val="4C943B5D"/>
    <w:rsid w:val="4FD77E92"/>
    <w:rsid w:val="53FB2D3F"/>
    <w:rsid w:val="6501461E"/>
    <w:rsid w:val="6A8C02BD"/>
    <w:rsid w:val="6C250084"/>
    <w:rsid w:val="7947051B"/>
    <w:rsid w:val="7E9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1071</Words>
  <Characters>1147</Characters>
  <Lines>8</Lines>
  <Paragraphs>2</Paragraphs>
  <TotalTime>3</TotalTime>
  <ScaleCrop>false</ScaleCrop>
  <LinksUpToDate>false</LinksUpToDate>
  <CharactersWithSpaces>1184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2021-06-08T03:27:00Z</dcterms:created>
  <dc:creator>中国期货业协会</dc:creator>
  <cp:lastModifiedBy>liufeifei</cp:lastModifiedBy>
  <dcterms:modified xsi:type="dcterms:W3CDTF">2022-08-04T01:21:17Z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E41ED6B22EA446449095B061417F9ABC</vt:lpwstr>
  </property>
</Properties>
</file>