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C1887" w:rsidRDefault="002C1887" w:rsidP="002C1887">
      <w:pPr>
        <w:spacing w:line="560" w:lineRule="exact"/>
        <w:rPr>
          <w:rFonts w:ascii="黑体" w:eastAsia="黑体" w:hAnsi="黑体" w:hint="default"/>
          <w:b/>
          <w:sz w:val="32"/>
          <w:szCs w:val="32"/>
        </w:rPr>
      </w:pPr>
      <w:r>
        <w:rPr>
          <w:rFonts w:ascii="黑体" w:eastAsia="黑体" w:hAnsi="黑体"/>
          <w:b/>
          <w:sz w:val="32"/>
          <w:szCs w:val="32"/>
        </w:rPr>
        <w:t xml:space="preserve">  </w:t>
      </w:r>
    </w:p>
    <w:p w:rsidR="002C1887" w:rsidRDefault="002C1887" w:rsidP="002C1887">
      <w:pPr>
        <w:spacing w:line="560" w:lineRule="exact"/>
        <w:rPr>
          <w:rFonts w:hint="default"/>
          <w:sz w:val="44"/>
          <w:szCs w:val="44"/>
        </w:rPr>
      </w:pPr>
    </w:p>
    <w:p w:rsidR="002C1887" w:rsidRDefault="002C1887" w:rsidP="002C1887">
      <w:pPr>
        <w:spacing w:line="560" w:lineRule="exact"/>
        <w:jc w:val="center"/>
        <w:rPr>
          <w:rFonts w:ascii="方正小标宋简体" w:eastAsia="方正小标宋简体" w:hAnsi="方正小标宋简体" w:hint="default"/>
          <w:b/>
          <w:sz w:val="44"/>
          <w:szCs w:val="44"/>
        </w:rPr>
      </w:pPr>
      <w:r>
        <w:rPr>
          <w:rFonts w:ascii="方正小标宋简体" w:eastAsia="方正小标宋简体" w:hAnsi="方正小标宋简体"/>
          <w:b/>
          <w:sz w:val="44"/>
          <w:szCs w:val="44"/>
        </w:rPr>
        <w:t>风险管理公司业务试点申报材料规范</w:t>
      </w:r>
    </w:p>
    <w:p w:rsidR="002C1887" w:rsidRDefault="002C1887" w:rsidP="002C1887">
      <w:pPr>
        <w:spacing w:line="560" w:lineRule="exact"/>
        <w:jc w:val="center"/>
        <w:rPr>
          <w:rFonts w:ascii="方正小标宋简体" w:eastAsia="方正小标宋简体" w:hAnsi="方正小标宋简体" w:hint="default"/>
          <w:b/>
          <w:sz w:val="44"/>
          <w:szCs w:val="44"/>
        </w:rPr>
      </w:pPr>
      <w:r>
        <w:rPr>
          <w:rFonts w:ascii="方正小标宋简体" w:eastAsia="方正小标宋简体" w:hAnsi="方正小标宋简体"/>
          <w:b/>
          <w:sz w:val="44"/>
          <w:szCs w:val="44"/>
        </w:rPr>
        <w:t>（第1号）—期货公司设立风险管理公司</w:t>
      </w:r>
    </w:p>
    <w:p w:rsidR="002C1887" w:rsidRDefault="002C1887" w:rsidP="002C1887">
      <w:pPr>
        <w:spacing w:line="560" w:lineRule="exact"/>
        <w:jc w:val="center"/>
        <w:rPr>
          <w:rFonts w:ascii="方正小标宋简体" w:eastAsia="方正小标宋简体" w:hAnsi="方正小标宋简体" w:hint="default"/>
          <w:b/>
          <w:sz w:val="44"/>
          <w:szCs w:val="44"/>
        </w:rPr>
      </w:pPr>
      <w:r>
        <w:rPr>
          <w:rFonts w:ascii="方正小标宋简体" w:eastAsia="方正小标宋简体" w:hAnsi="方正小标宋简体"/>
          <w:b/>
          <w:sz w:val="44"/>
          <w:szCs w:val="44"/>
        </w:rPr>
        <w:t>备案材料</w:t>
      </w:r>
    </w:p>
    <w:p w:rsidR="002C1887" w:rsidRDefault="002C1887" w:rsidP="002C1887">
      <w:pPr>
        <w:spacing w:line="560" w:lineRule="exact"/>
        <w:jc w:val="center"/>
        <w:rPr>
          <w:rFonts w:ascii="仿宋_GB2312" w:eastAsia="仿宋_GB2312" w:hAnsi="仿宋_GB2312" w:cs="仿宋_GB2312" w:hint="default"/>
          <w:b/>
          <w:sz w:val="32"/>
          <w:szCs w:val="32"/>
        </w:rPr>
      </w:pPr>
    </w:p>
    <w:p w:rsidR="002C1887" w:rsidRDefault="002C1887" w:rsidP="002C1887">
      <w:pPr>
        <w:numPr>
          <w:ilvl w:val="0"/>
          <w:numId w:val="1"/>
        </w:numPr>
        <w:spacing w:line="560" w:lineRule="exact"/>
        <w:ind w:firstLineChars="200" w:firstLine="643"/>
        <w:jc w:val="left"/>
        <w:rPr>
          <w:rFonts w:ascii="黑体" w:eastAsia="黑体" w:hAnsi="黑体" w:cs="仿宋_GB2312" w:hint="default"/>
          <w:b/>
          <w:sz w:val="32"/>
          <w:szCs w:val="32"/>
        </w:rPr>
      </w:pPr>
      <w:r>
        <w:rPr>
          <w:rFonts w:ascii="黑体" w:eastAsia="黑体" w:hAnsi="黑体" w:cs="仿宋_GB2312"/>
          <w:b/>
          <w:sz w:val="32"/>
          <w:szCs w:val="32"/>
        </w:rPr>
        <w:t>备案时间</w:t>
      </w:r>
    </w:p>
    <w:p w:rsidR="002C1887" w:rsidRDefault="002C1887" w:rsidP="002C1887">
      <w:pPr>
        <w:spacing w:line="560" w:lineRule="exact"/>
        <w:ind w:firstLineChars="200" w:firstLine="640"/>
        <w:rPr>
          <w:rFonts w:ascii="黑体" w:eastAsia="黑体" w:hAnsi="黑体" w:cs="仿宋_GB2312" w:hint="default"/>
          <w:b/>
          <w:sz w:val="32"/>
          <w:szCs w:val="32"/>
        </w:rPr>
      </w:pPr>
      <w:r>
        <w:rPr>
          <w:rFonts w:ascii="仿宋_GB2312" w:eastAsia="仿宋_GB2312" w:hAnsi="仿宋_GB2312" w:cs="仿宋_GB2312"/>
          <w:bCs/>
          <w:sz w:val="32"/>
          <w:szCs w:val="32"/>
        </w:rPr>
        <w:t>风险管理公司完成工商登记后5个工作日内，期货公司向中国期货业协会（以下简称协会）备案。</w:t>
      </w:r>
    </w:p>
    <w:p w:rsidR="002C1887" w:rsidRDefault="002C1887" w:rsidP="002C1887">
      <w:pPr>
        <w:numPr>
          <w:ilvl w:val="0"/>
          <w:numId w:val="1"/>
        </w:numPr>
        <w:spacing w:line="560" w:lineRule="exact"/>
        <w:ind w:firstLineChars="200" w:firstLine="643"/>
        <w:jc w:val="left"/>
        <w:rPr>
          <w:rFonts w:ascii="黑体" w:eastAsia="黑体" w:hAnsi="黑体" w:cs="仿宋_GB2312" w:hint="default"/>
          <w:b/>
          <w:sz w:val="32"/>
          <w:szCs w:val="32"/>
        </w:rPr>
      </w:pPr>
      <w:r>
        <w:rPr>
          <w:rFonts w:ascii="黑体" w:eastAsia="黑体" w:hAnsi="黑体" w:cs="仿宋_GB2312"/>
          <w:b/>
          <w:sz w:val="32"/>
          <w:szCs w:val="32"/>
        </w:rPr>
        <w:t>备案材料内容</w:t>
      </w:r>
    </w:p>
    <w:p w:rsidR="002C1887" w:rsidRDefault="002C1887" w:rsidP="002C1887">
      <w:pPr>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（一）备案报告；</w:t>
      </w:r>
    </w:p>
    <w:p w:rsidR="002C1887" w:rsidRDefault="002C1887" w:rsidP="002C1887">
      <w:pPr>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（二）期货公司股东会</w:t>
      </w:r>
      <w:r w:rsidR="004151DC">
        <w:rPr>
          <w:rFonts w:ascii="仿宋_GB2312" w:eastAsia="仿宋_GB2312" w:hAnsi="仿宋_GB2312" w:cs="仿宋_GB2312"/>
          <w:bCs/>
          <w:sz w:val="32"/>
          <w:szCs w:val="32"/>
        </w:rPr>
        <w:t>（股东大会）</w:t>
      </w:r>
      <w:r>
        <w:rPr>
          <w:rFonts w:ascii="仿宋_GB2312" w:eastAsia="仿宋_GB2312" w:hAnsi="仿宋_GB2312" w:cs="仿宋_GB2312"/>
          <w:bCs/>
          <w:sz w:val="32"/>
          <w:szCs w:val="32"/>
        </w:rPr>
        <w:t>或者董事会同意设立风险管理公司开展业务试点的决议（按照公司章程规定出具）；</w:t>
      </w:r>
    </w:p>
    <w:p w:rsidR="002C1887" w:rsidRDefault="002C1887" w:rsidP="002C1887">
      <w:pPr>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（三）期货公司关于风险管理公司的管理制度，制度中须包含</w:t>
      </w:r>
      <w:r w:rsidRPr="00D0735F">
        <w:rPr>
          <w:rFonts w:ascii="仿宋_GB2312" w:eastAsia="仿宋_GB2312" w:hAnsi="仿宋_GB2312" w:cs="仿宋_GB2312"/>
          <w:bCs/>
          <w:sz w:val="32"/>
          <w:szCs w:val="32"/>
        </w:rPr>
        <w:t>对风险管理公司业务风险的监测和风险处置机制</w:t>
      </w:r>
      <w:r>
        <w:rPr>
          <w:rFonts w:ascii="仿宋_GB2312" w:eastAsia="仿宋_GB2312" w:hAnsi="仿宋_GB2312" w:cs="仿宋_GB2312"/>
          <w:bCs/>
          <w:sz w:val="32"/>
          <w:szCs w:val="32"/>
        </w:rPr>
        <w:t>，对</w:t>
      </w:r>
      <w:r w:rsidRPr="00D0735F">
        <w:rPr>
          <w:rFonts w:ascii="仿宋_GB2312" w:eastAsia="仿宋_GB2312" w:hAnsi="仿宋_GB2312" w:cs="仿宋_GB2312"/>
          <w:bCs/>
          <w:sz w:val="32"/>
          <w:szCs w:val="32"/>
        </w:rPr>
        <w:t>利益冲突识别和管理</w:t>
      </w:r>
      <w:r>
        <w:rPr>
          <w:rFonts w:ascii="仿宋_GB2312" w:eastAsia="仿宋_GB2312" w:hAnsi="仿宋_GB2312" w:cs="仿宋_GB2312"/>
          <w:bCs/>
          <w:sz w:val="32"/>
          <w:szCs w:val="32"/>
        </w:rPr>
        <w:t>的</w:t>
      </w:r>
      <w:r w:rsidRPr="00D0735F">
        <w:rPr>
          <w:rFonts w:ascii="仿宋_GB2312" w:eastAsia="仿宋_GB2312" w:hAnsi="仿宋_GB2312" w:cs="仿宋_GB2312"/>
          <w:bCs/>
          <w:sz w:val="32"/>
          <w:szCs w:val="32"/>
        </w:rPr>
        <w:t>机制</w:t>
      </w:r>
      <w:r>
        <w:rPr>
          <w:rFonts w:ascii="仿宋_GB2312" w:eastAsia="仿宋_GB2312" w:hAnsi="华文中宋"/>
          <w:sz w:val="32"/>
          <w:szCs w:val="32"/>
        </w:rPr>
        <w:t>，对</w:t>
      </w:r>
      <w:r w:rsidRPr="00D0735F">
        <w:rPr>
          <w:rFonts w:ascii="仿宋_GB2312" w:eastAsia="仿宋_GB2312" w:hAnsi="华文中宋"/>
          <w:sz w:val="32"/>
          <w:szCs w:val="32"/>
        </w:rPr>
        <w:t>期货公司与风险管理公司之间、风险管理公司与期货公司其他子公司</w:t>
      </w:r>
      <w:r>
        <w:rPr>
          <w:rFonts w:ascii="仿宋_GB2312" w:eastAsia="仿宋_GB2312" w:hAnsi="华文中宋"/>
          <w:sz w:val="32"/>
          <w:szCs w:val="32"/>
        </w:rPr>
        <w:t>之间进行</w:t>
      </w:r>
      <w:r w:rsidRPr="00D0735F">
        <w:rPr>
          <w:rFonts w:ascii="仿宋_GB2312" w:eastAsia="仿宋_GB2312" w:cs="仿宋_GB2312"/>
          <w:sz w:val="32"/>
          <w:szCs w:val="32"/>
        </w:rPr>
        <w:t>业务隔离</w:t>
      </w:r>
      <w:r>
        <w:rPr>
          <w:rFonts w:ascii="仿宋_GB2312" w:eastAsia="仿宋_GB2312" w:cs="仿宋_GB2312"/>
          <w:sz w:val="32"/>
          <w:szCs w:val="32"/>
        </w:rPr>
        <w:t>的</w:t>
      </w:r>
      <w:r w:rsidRPr="00D0735F">
        <w:rPr>
          <w:rFonts w:ascii="仿宋_GB2312" w:eastAsia="仿宋_GB2312" w:cs="仿宋_GB2312"/>
          <w:sz w:val="32"/>
          <w:szCs w:val="32"/>
        </w:rPr>
        <w:t>机制</w:t>
      </w:r>
      <w:r>
        <w:rPr>
          <w:rFonts w:ascii="仿宋_GB2312" w:eastAsia="仿宋_GB2312" w:cs="仿宋_GB2312"/>
          <w:sz w:val="32"/>
          <w:szCs w:val="32"/>
        </w:rPr>
        <w:t>，对风险管理公司相关制度（</w:t>
      </w:r>
      <w:r w:rsidRPr="00D0735F">
        <w:rPr>
          <w:rFonts w:ascii="仿宋_GB2312" w:eastAsia="仿宋_GB2312" w:hAnsi="仿宋_GB2312" w:cs="仿宋_GB2312"/>
          <w:bCs/>
          <w:sz w:val="32"/>
          <w:szCs w:val="32"/>
        </w:rPr>
        <w:t>公司治理、内部控制、合规管理和风险管理</w:t>
      </w:r>
      <w:r>
        <w:rPr>
          <w:rFonts w:ascii="仿宋_GB2312" w:eastAsia="仿宋_GB2312" w:hAnsi="仿宋_GB2312" w:cs="仿宋_GB2312"/>
          <w:bCs/>
          <w:sz w:val="32"/>
          <w:szCs w:val="32"/>
        </w:rPr>
        <w:t>）的</w:t>
      </w:r>
      <w:r w:rsidRPr="00D0735F">
        <w:rPr>
          <w:rFonts w:ascii="仿宋_GB2312" w:eastAsia="仿宋_GB2312" w:hAnsi="仿宋_GB2312" w:cs="仿宋_GB2312"/>
          <w:bCs/>
          <w:sz w:val="32"/>
          <w:szCs w:val="32"/>
        </w:rPr>
        <w:t>有效性评估机制和内部责任追究机制</w:t>
      </w:r>
      <w:r>
        <w:rPr>
          <w:rFonts w:ascii="仿宋_GB2312" w:eastAsia="仿宋_GB2312" w:cs="仿宋_GB2312"/>
          <w:sz w:val="32"/>
          <w:szCs w:val="32"/>
        </w:rPr>
        <w:t>等内容；</w:t>
      </w:r>
    </w:p>
    <w:p w:rsidR="002C1887" w:rsidRDefault="004151DC" w:rsidP="002C1887">
      <w:pPr>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（四）</w:t>
      </w:r>
      <w:r w:rsidR="002C1887">
        <w:rPr>
          <w:rFonts w:ascii="仿宋_GB2312" w:eastAsia="仿宋_GB2312" w:hAnsi="仿宋_GB2312" w:cs="仿宋_GB2312"/>
          <w:bCs/>
          <w:sz w:val="32"/>
          <w:szCs w:val="32"/>
        </w:rPr>
        <w:t>备案时期货公司最近1年《风险监管指标汇总表（SR-1表）》；</w:t>
      </w:r>
    </w:p>
    <w:p w:rsidR="002C1887" w:rsidRDefault="002C1887" w:rsidP="002C1887">
      <w:pPr>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（五）风险管理公司验资报告；</w:t>
      </w:r>
    </w:p>
    <w:p w:rsidR="002C1887" w:rsidRDefault="002C1887" w:rsidP="002C1887">
      <w:pPr>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lastRenderedPageBreak/>
        <w:t>（六）协会要求提供的其他材料。</w:t>
      </w:r>
    </w:p>
    <w:p w:rsidR="002C1887" w:rsidRDefault="002C1887" w:rsidP="002C1887">
      <w:pPr>
        <w:numPr>
          <w:ilvl w:val="0"/>
          <w:numId w:val="1"/>
        </w:numPr>
        <w:spacing w:line="560" w:lineRule="exact"/>
        <w:ind w:firstLineChars="200" w:firstLine="643"/>
        <w:jc w:val="left"/>
        <w:rPr>
          <w:rFonts w:ascii="黑体" w:eastAsia="黑体" w:hAnsi="黑体" w:cs="仿宋_GB2312" w:hint="default"/>
          <w:b/>
          <w:sz w:val="32"/>
          <w:szCs w:val="32"/>
        </w:rPr>
      </w:pPr>
      <w:r>
        <w:rPr>
          <w:rFonts w:ascii="黑体" w:eastAsia="黑体" w:hAnsi="黑体" w:cs="仿宋_GB2312"/>
          <w:b/>
          <w:sz w:val="32"/>
          <w:szCs w:val="32"/>
        </w:rPr>
        <w:t>备案材料形式要件</w:t>
      </w:r>
    </w:p>
    <w:p w:rsidR="002C1887" w:rsidRPr="00B03F3D" w:rsidRDefault="002C1887" w:rsidP="002C1887">
      <w:pPr>
        <w:adjustRightInd w:val="0"/>
        <w:snapToGrid w:val="0"/>
        <w:spacing w:line="560" w:lineRule="exact"/>
        <w:ind w:firstLineChars="200" w:firstLine="640"/>
        <w:rPr>
          <w:rFonts w:ascii="仿宋_GB2312" w:eastAsia="仿宋_GB2312" w:hAnsi="仿宋" w:hint="default"/>
          <w:sz w:val="32"/>
          <w:szCs w:val="32"/>
        </w:rPr>
      </w:pPr>
      <w:r w:rsidRPr="00B03F3D">
        <w:rPr>
          <w:rFonts w:ascii="仿宋_GB2312" w:eastAsia="仿宋_GB2312" w:hAnsi="仿宋"/>
          <w:sz w:val="32"/>
          <w:szCs w:val="32"/>
        </w:rPr>
        <w:t>期货公司通过风险管理公司综合信息管理系统提交的备案材料应当符合以下要求：</w:t>
      </w:r>
    </w:p>
    <w:p w:rsidR="002C1887" w:rsidRDefault="002C1887" w:rsidP="002C1887">
      <w:pPr>
        <w:numPr>
          <w:ilvl w:val="0"/>
          <w:numId w:val="2"/>
        </w:numPr>
        <w:adjustRightInd w:val="0"/>
        <w:snapToGrid w:val="0"/>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备案报告应有发文字号，加盖期货公司公章，</w:t>
      </w:r>
      <w:bookmarkStart w:id="0" w:name="_GoBack"/>
      <w:bookmarkEnd w:id="0"/>
      <w:r>
        <w:rPr>
          <w:rFonts w:ascii="仿宋_GB2312" w:eastAsia="仿宋_GB2312" w:hAnsi="仿宋_GB2312" w:cs="仿宋_GB2312"/>
          <w:bCs/>
          <w:sz w:val="32"/>
          <w:szCs w:val="32"/>
        </w:rPr>
        <w:t>参见FR-01出具。</w:t>
      </w:r>
    </w:p>
    <w:p w:rsidR="002C1887" w:rsidRPr="00C537F5" w:rsidRDefault="002C1887" w:rsidP="002C1887">
      <w:pPr>
        <w:numPr>
          <w:ilvl w:val="0"/>
          <w:numId w:val="2"/>
        </w:numPr>
        <w:adjustRightInd w:val="0"/>
        <w:snapToGrid w:val="0"/>
        <w:spacing w:line="560" w:lineRule="exact"/>
        <w:ind w:firstLineChars="200" w:firstLine="640"/>
        <w:rPr>
          <w:rFonts w:ascii="仿宋_GB2312" w:eastAsia="仿宋_GB2312" w:hAnsi="仿宋_GB2312" w:cs="仿宋_GB2312" w:hint="default"/>
          <w:bCs/>
          <w:sz w:val="32"/>
          <w:szCs w:val="32"/>
        </w:rPr>
      </w:pPr>
      <w:r>
        <w:rPr>
          <w:rFonts w:ascii="仿宋_GB2312" w:eastAsia="仿宋_GB2312" w:hAnsi="仿宋_GB2312" w:cs="仿宋_GB2312"/>
          <w:bCs/>
          <w:sz w:val="32"/>
          <w:szCs w:val="32"/>
        </w:rPr>
        <w:t>期货公司最近1年《风险监管指标汇总表（SR-1表）》加盖期货公司公章，按时间倒序排列。</w:t>
      </w:r>
    </w:p>
    <w:p w:rsidR="002C1887" w:rsidRPr="00B03F3D" w:rsidRDefault="002C1887" w:rsidP="002C1887">
      <w:pPr>
        <w:numPr>
          <w:ilvl w:val="0"/>
          <w:numId w:val="2"/>
        </w:numPr>
        <w:adjustRightInd w:val="0"/>
        <w:snapToGrid w:val="0"/>
        <w:spacing w:line="560" w:lineRule="exact"/>
        <w:ind w:firstLineChars="200" w:firstLine="640"/>
        <w:rPr>
          <w:rFonts w:ascii="仿宋" w:eastAsia="仿宋" w:hAnsi="仿宋" w:hint="default"/>
          <w:sz w:val="32"/>
          <w:szCs w:val="32"/>
        </w:rPr>
      </w:pPr>
      <w:r w:rsidRPr="00B03F3D">
        <w:rPr>
          <w:rFonts w:ascii="仿宋_GB2312" w:eastAsia="仿宋_GB2312" w:hAnsi="仿宋"/>
          <w:sz w:val="32"/>
          <w:szCs w:val="32"/>
        </w:rPr>
        <w:t>除</w:t>
      </w:r>
      <w:r w:rsidRPr="00C2115F">
        <w:rPr>
          <w:rFonts w:ascii="仿宋_GB2312" w:eastAsia="仿宋_GB2312" w:hAnsi="仿宋_GB2312" w:cs="仿宋_GB2312"/>
          <w:bCs/>
          <w:sz w:val="32"/>
          <w:szCs w:val="32"/>
        </w:rPr>
        <w:t>期货公司关于风险管理公司的管理制度</w:t>
      </w:r>
      <w:r w:rsidRPr="00B03F3D">
        <w:rPr>
          <w:rFonts w:ascii="仿宋_GB2312" w:eastAsia="仿宋_GB2312" w:hAnsi="仿宋"/>
          <w:sz w:val="32"/>
          <w:szCs w:val="32"/>
        </w:rPr>
        <w:t>文件类型为WORD</w:t>
      </w:r>
      <w:r w:rsidRPr="00C2115F">
        <w:rPr>
          <w:rFonts w:ascii="仿宋_GB2312" w:eastAsia="仿宋_GB2312" w:hAnsi="仿宋_GB2312" w:cs="仿宋_GB2312"/>
          <w:bCs/>
          <w:sz w:val="32"/>
          <w:szCs w:val="32"/>
        </w:rPr>
        <w:t>外，其他</w:t>
      </w:r>
      <w:r w:rsidRPr="00B03F3D">
        <w:rPr>
          <w:rFonts w:ascii="仿宋_GB2312" w:eastAsia="仿宋_GB2312" w:hAnsi="仿宋"/>
          <w:sz w:val="32"/>
          <w:szCs w:val="32"/>
        </w:rPr>
        <w:t>备案材料文件类型</w:t>
      </w:r>
      <w:r>
        <w:rPr>
          <w:rFonts w:ascii="仿宋_GB2312" w:eastAsia="仿宋_GB2312" w:hAnsi="仿宋"/>
          <w:sz w:val="32"/>
          <w:szCs w:val="32"/>
        </w:rPr>
        <w:t>均</w:t>
      </w:r>
      <w:r w:rsidRPr="00B03F3D">
        <w:rPr>
          <w:rFonts w:ascii="仿宋_GB2312" w:eastAsia="仿宋_GB2312" w:hAnsi="仿宋"/>
          <w:sz w:val="32"/>
          <w:szCs w:val="32"/>
        </w:rPr>
        <w:t>为PDF</w:t>
      </w:r>
      <w:r w:rsidR="000F3CD2">
        <w:rPr>
          <w:rFonts w:ascii="仿宋_GB2312" w:eastAsia="仿宋_GB2312" w:hAnsi="仿宋_GB2312" w:cs="仿宋_GB2312"/>
          <w:bCs/>
          <w:sz w:val="32"/>
          <w:szCs w:val="32"/>
        </w:rPr>
        <w:t>。</w:t>
      </w:r>
    </w:p>
    <w:p w:rsidR="002C1887" w:rsidRDefault="002C1887" w:rsidP="002C1887">
      <w:pPr>
        <w:adjustRightInd w:val="0"/>
        <w:snapToGrid w:val="0"/>
        <w:spacing w:line="560" w:lineRule="exact"/>
        <w:ind w:left="640"/>
        <w:rPr>
          <w:rFonts w:ascii="仿宋" w:eastAsia="仿宋" w:hAnsi="仿宋" w:hint="default"/>
          <w:sz w:val="32"/>
          <w:szCs w:val="32"/>
        </w:rPr>
      </w:pPr>
    </w:p>
    <w:p w:rsidR="002C1887" w:rsidRPr="00B03F3D" w:rsidRDefault="002C1887" w:rsidP="00A463C7">
      <w:pPr>
        <w:adjustRightInd w:val="0"/>
        <w:snapToGrid w:val="0"/>
        <w:spacing w:line="560" w:lineRule="exact"/>
        <w:ind w:firstLineChars="200" w:firstLine="640"/>
        <w:rPr>
          <w:rFonts w:ascii="仿宋_GB2312" w:eastAsia="仿宋_GB2312" w:hAnsi="仿宋" w:hint="default"/>
          <w:sz w:val="32"/>
          <w:szCs w:val="32"/>
        </w:rPr>
      </w:pPr>
      <w:r>
        <w:rPr>
          <w:rFonts w:ascii="仿宋_GB2312" w:eastAsia="仿宋_GB2312" w:hAnsi="仿宋"/>
          <w:sz w:val="32"/>
          <w:szCs w:val="32"/>
        </w:rPr>
        <w:t>本规范由中国期货业协会</w:t>
      </w:r>
      <w:r w:rsidR="00A463C7">
        <w:rPr>
          <w:rFonts w:ascii="仿宋_GB2312" w:eastAsia="仿宋_GB2312" w:hAnsi="仿宋"/>
          <w:sz w:val="32"/>
          <w:szCs w:val="32"/>
        </w:rPr>
        <w:t>制定并</w:t>
      </w:r>
      <w:r>
        <w:rPr>
          <w:rFonts w:ascii="仿宋_GB2312" w:eastAsia="仿宋_GB2312" w:hAnsi="仿宋"/>
          <w:sz w:val="32"/>
          <w:szCs w:val="32"/>
        </w:rPr>
        <w:t>负责解释</w:t>
      </w:r>
      <w:r w:rsidR="00A463C7">
        <w:rPr>
          <w:rFonts w:ascii="仿宋_GB2312" w:eastAsia="仿宋_GB2312" w:hAnsi="仿宋"/>
          <w:sz w:val="32"/>
          <w:szCs w:val="32"/>
        </w:rPr>
        <w:t>，</w:t>
      </w:r>
      <w:r w:rsidRPr="00B03F3D">
        <w:rPr>
          <w:rFonts w:ascii="仿宋_GB2312" w:eastAsia="仿宋_GB2312" w:hAnsi="仿宋"/>
          <w:sz w:val="32"/>
          <w:szCs w:val="32"/>
        </w:rPr>
        <w:t>自发布之日起实施。</w:t>
      </w:r>
    </w:p>
    <w:p w:rsidR="002C1887" w:rsidRPr="00C537F5" w:rsidRDefault="002C1887" w:rsidP="002C1887">
      <w:pPr>
        <w:widowControl/>
        <w:jc w:val="left"/>
        <w:rPr>
          <w:rFonts w:ascii="仿宋" w:eastAsia="仿宋" w:hAnsi="仿宋" w:hint="default"/>
          <w:sz w:val="32"/>
          <w:szCs w:val="32"/>
        </w:rPr>
      </w:pPr>
    </w:p>
    <w:p w:rsidR="00DC0746" w:rsidRDefault="00DC0746">
      <w:pPr>
        <w:rPr>
          <w:rFonts w:hint="default"/>
        </w:rPr>
      </w:pPr>
    </w:p>
    <w:sectPr w:rsidR="00DC0746" w:rsidSect="00F87D03">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034F" w:rsidRDefault="0058034F" w:rsidP="00F87D03">
      <w:pPr>
        <w:rPr>
          <w:rFonts w:hint="default"/>
        </w:rPr>
      </w:pPr>
      <w:r>
        <w:separator/>
      </w:r>
    </w:p>
  </w:endnote>
  <w:endnote w:type="continuationSeparator" w:id="0">
    <w:p w:rsidR="0058034F" w:rsidRDefault="0058034F" w:rsidP="00F87D03">
      <w:pPr>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66BE" w:rsidRDefault="00F87D03">
    <w:pPr>
      <w:pStyle w:val="a4"/>
      <w:jc w:val="center"/>
    </w:pPr>
    <w:r>
      <w:fldChar w:fldCharType="begin"/>
    </w:r>
    <w:r w:rsidR="002C1887">
      <w:instrText>PAGE   \* MERGEFORMAT</w:instrText>
    </w:r>
    <w:r>
      <w:fldChar w:fldCharType="separate"/>
    </w:r>
    <w:r w:rsidR="002D2834">
      <w:rPr>
        <w:noProof/>
      </w:rPr>
      <w:t>2</w:t>
    </w:r>
    <w:r>
      <w:fldChar w:fldCharType="end"/>
    </w:r>
  </w:p>
  <w:p w:rsidR="005966BE" w:rsidRDefault="0058034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034F" w:rsidRDefault="0058034F" w:rsidP="00F87D03">
      <w:pPr>
        <w:rPr>
          <w:rFonts w:hint="default"/>
        </w:rPr>
      </w:pPr>
      <w:r>
        <w:separator/>
      </w:r>
    </w:p>
  </w:footnote>
  <w:footnote w:type="continuationSeparator" w:id="0">
    <w:p w:rsidR="0058034F" w:rsidRDefault="0058034F" w:rsidP="00F87D03">
      <w:pPr>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E972D1"/>
    <w:multiLevelType w:val="singleLevel"/>
    <w:tmpl w:val="53E972D1"/>
    <w:lvl w:ilvl="0">
      <w:start w:val="1"/>
      <w:numFmt w:val="chineseCounting"/>
      <w:suff w:val="nothing"/>
      <w:lvlText w:val="%1、"/>
      <w:lvlJc w:val="left"/>
    </w:lvl>
  </w:abstractNum>
  <w:abstractNum w:abstractNumId="1" w15:restartNumberingAfterBreak="0">
    <w:nsid w:val="53E97BA8"/>
    <w:multiLevelType w:val="singleLevel"/>
    <w:tmpl w:val="53E97BA8"/>
    <w:lvl w:ilvl="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C53AA"/>
    <w:rsid w:val="000F3CD2"/>
    <w:rsid w:val="00200DA6"/>
    <w:rsid w:val="002C1887"/>
    <w:rsid w:val="002D2834"/>
    <w:rsid w:val="00340E63"/>
    <w:rsid w:val="004151DC"/>
    <w:rsid w:val="00443783"/>
    <w:rsid w:val="0058034F"/>
    <w:rsid w:val="009C53AA"/>
    <w:rsid w:val="00A463C7"/>
    <w:rsid w:val="00B07B63"/>
    <w:rsid w:val="00C14643"/>
    <w:rsid w:val="00DC0746"/>
    <w:rsid w:val="00EF6A9B"/>
    <w:rsid w:val="00F87D03"/>
    <w:rsid w:val="00FE0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67C5"/>
  <w15:docId w15:val="{84223AA2-E27C-496F-A2A4-CB441CDC2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1887"/>
    <w:pPr>
      <w:widowControl w:val="0"/>
      <w:jc w:val="both"/>
    </w:pPr>
    <w:rPr>
      <w:rFonts w:ascii="Calibri" w:eastAsia="宋体" w:hAnsi="Calibri" w:cs="Times New Roman" w:hint="eastAsia"/>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脚 字符"/>
    <w:link w:val="a4"/>
    <w:rsid w:val="002C1887"/>
    <w:rPr>
      <w:rFonts w:ascii="Calibri" w:hAnsi="Calibri"/>
      <w:sz w:val="18"/>
    </w:rPr>
  </w:style>
  <w:style w:type="paragraph" w:styleId="a4">
    <w:name w:val="footer"/>
    <w:basedOn w:val="a"/>
    <w:link w:val="a3"/>
    <w:rsid w:val="002C1887"/>
    <w:pPr>
      <w:tabs>
        <w:tab w:val="center" w:pos="4153"/>
        <w:tab w:val="right" w:pos="8306"/>
      </w:tabs>
      <w:snapToGrid w:val="0"/>
      <w:jc w:val="left"/>
    </w:pPr>
    <w:rPr>
      <w:rFonts w:eastAsiaTheme="minorEastAsia" w:cstheme="minorBidi" w:hint="default"/>
      <w:sz w:val="18"/>
      <w:szCs w:val="22"/>
    </w:rPr>
  </w:style>
  <w:style w:type="character" w:customStyle="1" w:styleId="1">
    <w:name w:val="页脚 字符1"/>
    <w:basedOn w:val="a0"/>
    <w:uiPriority w:val="99"/>
    <w:semiHidden/>
    <w:rsid w:val="002C1887"/>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Words>
  <Characters>502</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 Alex</dc:creator>
  <cp:keywords/>
  <dc:description/>
  <cp:lastModifiedBy>Carl Alex</cp:lastModifiedBy>
  <cp:revision>9</cp:revision>
  <dcterms:created xsi:type="dcterms:W3CDTF">2019-01-22T07:47:00Z</dcterms:created>
  <dcterms:modified xsi:type="dcterms:W3CDTF">2019-01-29T02:31:00Z</dcterms:modified>
</cp:coreProperties>
</file>